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7E" w:rsidRDefault="0074777E" w:rsidP="00EE190A">
      <w:pPr>
        <w:jc w:val="center"/>
        <w:rPr>
          <w:rFonts w:ascii="Times New Roman" w:hAnsi="Times New Roman" w:cs="Times New Roman"/>
          <w:b/>
        </w:rPr>
      </w:pPr>
    </w:p>
    <w:p w:rsidR="008C020F" w:rsidRPr="00A26A8E" w:rsidRDefault="007F6976" w:rsidP="00EE190A">
      <w:pPr>
        <w:jc w:val="center"/>
        <w:rPr>
          <w:rFonts w:ascii="Times New Roman" w:hAnsi="Times New Roman" w:cs="Times New Roman"/>
          <w:b/>
        </w:rPr>
      </w:pPr>
      <w:r w:rsidRPr="00A26A8E">
        <w:rPr>
          <w:rFonts w:ascii="Times New Roman" w:hAnsi="Times New Roman" w:cs="Times New Roman"/>
          <w:b/>
        </w:rPr>
        <w:t>SUMP PUMP INSPECTION</w:t>
      </w:r>
    </w:p>
    <w:p w:rsidR="003D59C8" w:rsidRDefault="003D59C8" w:rsidP="00EE190A">
      <w:pPr>
        <w:rPr>
          <w:rFonts w:ascii="Times New Roman" w:hAnsi="Times New Roman" w:cs="Times New Roman"/>
        </w:rPr>
      </w:pPr>
    </w:p>
    <w:p w:rsidR="0074777E" w:rsidRPr="00A26A8E" w:rsidRDefault="0074777E" w:rsidP="00EE190A">
      <w:pPr>
        <w:rPr>
          <w:rFonts w:ascii="Times New Roman" w:hAnsi="Times New Roman" w:cs="Times New Roman"/>
        </w:rPr>
      </w:pPr>
    </w:p>
    <w:p w:rsidR="007F6976" w:rsidRPr="00A26A8E" w:rsidRDefault="00FD1DDD" w:rsidP="00287333">
      <w:pPr>
        <w:jc w:val="both"/>
        <w:rPr>
          <w:rFonts w:ascii="Times New Roman" w:hAnsi="Times New Roman" w:cs="Times New Roman"/>
        </w:rPr>
      </w:pPr>
      <w:r>
        <w:rPr>
          <w:rFonts w:ascii="Times New Roman" w:hAnsi="Times New Roman" w:cs="Times New Roman"/>
        </w:rPr>
        <w:t>Discharge from sump pumps is not always an allowable non-stormwater discharge.  As such, t</w:t>
      </w:r>
      <w:r w:rsidR="007F6976" w:rsidRPr="00A26A8E">
        <w:rPr>
          <w:rFonts w:ascii="Times New Roman" w:hAnsi="Times New Roman" w:cs="Times New Roman"/>
        </w:rPr>
        <w:t xml:space="preserve">he </w:t>
      </w:r>
      <w:r>
        <w:rPr>
          <w:rFonts w:ascii="Times New Roman" w:hAnsi="Times New Roman" w:cs="Times New Roman"/>
        </w:rPr>
        <w:t xml:space="preserve">practice </w:t>
      </w:r>
      <w:r w:rsidR="007F6976" w:rsidRPr="00A26A8E">
        <w:rPr>
          <w:rFonts w:ascii="Times New Roman" w:hAnsi="Times New Roman" w:cs="Times New Roman"/>
        </w:rPr>
        <w:t xml:space="preserve">of connecting sump pumps to the engineered storm drain system was not </w:t>
      </w:r>
      <w:r>
        <w:rPr>
          <w:rFonts w:ascii="Times New Roman" w:hAnsi="Times New Roman" w:cs="Times New Roman"/>
        </w:rPr>
        <w:t>fully</w:t>
      </w:r>
      <w:r w:rsidR="007F6976" w:rsidRPr="00A26A8E">
        <w:rPr>
          <w:rFonts w:ascii="Times New Roman" w:hAnsi="Times New Roman" w:cs="Times New Roman"/>
        </w:rPr>
        <w:t xml:space="preserve"> addressed by the 2003 Massachusetts MS4 Permit. It is therefore up to the discretion of the municipality to determine whether or not a </w:t>
      </w:r>
      <w:r w:rsidR="00842640" w:rsidRPr="00A26A8E">
        <w:rPr>
          <w:rFonts w:ascii="Times New Roman" w:hAnsi="Times New Roman" w:cs="Times New Roman"/>
        </w:rPr>
        <w:t>building owner</w:t>
      </w:r>
      <w:r w:rsidR="007F6976" w:rsidRPr="00A26A8E">
        <w:rPr>
          <w:rFonts w:ascii="Times New Roman" w:hAnsi="Times New Roman" w:cs="Times New Roman"/>
        </w:rPr>
        <w:t xml:space="preserve"> should be </w:t>
      </w:r>
      <w:r w:rsidR="00287333">
        <w:rPr>
          <w:rFonts w:ascii="Times New Roman" w:hAnsi="Times New Roman" w:cs="Times New Roman"/>
        </w:rPr>
        <w:t>permitted</w:t>
      </w:r>
      <w:r w:rsidR="007F6976" w:rsidRPr="00A26A8E">
        <w:rPr>
          <w:rFonts w:ascii="Times New Roman" w:hAnsi="Times New Roman" w:cs="Times New Roman"/>
        </w:rPr>
        <w:t xml:space="preserve"> to connect a sump pump to the </w:t>
      </w:r>
      <w:r w:rsidR="00287333">
        <w:rPr>
          <w:rFonts w:ascii="Times New Roman" w:hAnsi="Times New Roman" w:cs="Times New Roman"/>
        </w:rPr>
        <w:t xml:space="preserve">engineered </w:t>
      </w:r>
      <w:r w:rsidR="007F6976" w:rsidRPr="00A26A8E">
        <w:rPr>
          <w:rFonts w:ascii="Times New Roman" w:hAnsi="Times New Roman" w:cs="Times New Roman"/>
        </w:rPr>
        <w:t>storm drain system.</w:t>
      </w:r>
    </w:p>
    <w:p w:rsidR="005C77C4" w:rsidRPr="00A26A8E" w:rsidRDefault="005C77C4" w:rsidP="00EE190A">
      <w:pPr>
        <w:rPr>
          <w:rFonts w:ascii="Times New Roman" w:hAnsi="Times New Roman" w:cs="Times New Roman"/>
        </w:rPr>
      </w:pPr>
    </w:p>
    <w:p w:rsidR="00287333" w:rsidRPr="00A26A8E" w:rsidRDefault="005C77C4" w:rsidP="00287333">
      <w:pPr>
        <w:jc w:val="both"/>
        <w:rPr>
          <w:rFonts w:ascii="Times New Roman" w:hAnsi="Times New Roman" w:cs="Times New Roman"/>
        </w:rPr>
      </w:pPr>
      <w:r w:rsidRPr="00A26A8E">
        <w:rPr>
          <w:rFonts w:ascii="Times New Roman" w:hAnsi="Times New Roman" w:cs="Times New Roman"/>
        </w:rPr>
        <w:t xml:space="preserve">All sump pumps </w:t>
      </w:r>
      <w:r w:rsidR="00287333">
        <w:rPr>
          <w:rFonts w:ascii="Times New Roman" w:hAnsi="Times New Roman" w:cs="Times New Roman"/>
        </w:rPr>
        <w:t>that</w:t>
      </w:r>
      <w:r w:rsidRPr="00A26A8E">
        <w:rPr>
          <w:rFonts w:ascii="Times New Roman" w:hAnsi="Times New Roman" w:cs="Times New Roman"/>
        </w:rPr>
        <w:t xml:space="preserve"> </w:t>
      </w:r>
      <w:r w:rsidR="00287333">
        <w:rPr>
          <w:rFonts w:ascii="Times New Roman" w:hAnsi="Times New Roman" w:cs="Times New Roman"/>
        </w:rPr>
        <w:t xml:space="preserve">have been approved via permit process to tie into </w:t>
      </w:r>
      <w:r w:rsidRPr="00A26A8E">
        <w:rPr>
          <w:rFonts w:ascii="Times New Roman" w:hAnsi="Times New Roman" w:cs="Times New Roman"/>
        </w:rPr>
        <w:t xml:space="preserve">the </w:t>
      </w:r>
      <w:r w:rsidR="00287333">
        <w:rPr>
          <w:rFonts w:ascii="Times New Roman" w:hAnsi="Times New Roman" w:cs="Times New Roman"/>
        </w:rPr>
        <w:t xml:space="preserve">engineered </w:t>
      </w:r>
      <w:r w:rsidRPr="00A26A8E">
        <w:rPr>
          <w:rFonts w:ascii="Times New Roman" w:hAnsi="Times New Roman" w:cs="Times New Roman"/>
        </w:rPr>
        <w:t xml:space="preserve">storm drain system should be inspected annually. </w:t>
      </w:r>
      <w:r w:rsidR="00287333" w:rsidRPr="00A26A8E">
        <w:rPr>
          <w:rFonts w:ascii="Times New Roman" w:hAnsi="Times New Roman" w:cs="Times New Roman"/>
        </w:rPr>
        <w:t>The inspector has the right to enter and inspect the premises where the sump pump is located, including any tanks, storage areas, or rooms that may discharge or be caused to discharge to the sump pump. The inspector also has the right to sample or monitor any substances or parameters at any location for purposes of assuring compliance with the Sump Pump Drainage Connection Agreement or as otherwise authorized by the Clean Water Act. In addition, the inspector has the right to have access to and copy any records required to be kept under the terms and conditions of the Agreement.</w:t>
      </w:r>
    </w:p>
    <w:p w:rsidR="00287333" w:rsidRDefault="00287333" w:rsidP="00287333">
      <w:pPr>
        <w:jc w:val="both"/>
        <w:rPr>
          <w:rFonts w:ascii="Times New Roman" w:hAnsi="Times New Roman" w:cs="Times New Roman"/>
        </w:rPr>
      </w:pPr>
    </w:p>
    <w:p w:rsidR="005C77C4" w:rsidRPr="00A26A8E" w:rsidRDefault="005C77C4" w:rsidP="00287333">
      <w:pPr>
        <w:jc w:val="both"/>
        <w:rPr>
          <w:rFonts w:ascii="Times New Roman" w:hAnsi="Times New Roman" w:cs="Times New Roman"/>
        </w:rPr>
      </w:pPr>
      <w:r w:rsidRPr="00A26A8E">
        <w:rPr>
          <w:rFonts w:ascii="Times New Roman" w:hAnsi="Times New Roman" w:cs="Times New Roman"/>
        </w:rPr>
        <w:t>This form shall be used by the inspector to ensure that the sump pump remains in compliance with the current policy.</w:t>
      </w:r>
    </w:p>
    <w:p w:rsidR="00976224" w:rsidRPr="00A26A8E" w:rsidRDefault="00976224" w:rsidP="00EE190A">
      <w:pPr>
        <w:rPr>
          <w:rFonts w:ascii="Times New Roman" w:hAnsi="Times New Roman" w:cs="Times New Roman"/>
        </w:rPr>
      </w:pPr>
    </w:p>
    <w:p w:rsidR="003D59C8" w:rsidRPr="00287333" w:rsidRDefault="003D59C8" w:rsidP="008D4AEB">
      <w:pPr>
        <w:spacing w:line="360" w:lineRule="auto"/>
        <w:rPr>
          <w:rFonts w:ascii="Times New Roman" w:hAnsi="Times New Roman" w:cs="Times New Roman"/>
          <w:b/>
        </w:rPr>
      </w:pPr>
      <w:r w:rsidRPr="00287333">
        <w:rPr>
          <w:rFonts w:ascii="Times New Roman" w:hAnsi="Times New Roman" w:cs="Times New Roman"/>
          <w:b/>
        </w:rPr>
        <w:t>General Information</w:t>
      </w:r>
    </w:p>
    <w:tbl>
      <w:tblPr>
        <w:tblStyle w:val="TableGrid"/>
        <w:tblW w:w="9666" w:type="dxa"/>
        <w:tblLook w:val="04A0"/>
      </w:tblPr>
      <w:tblGrid>
        <w:gridCol w:w="2448"/>
        <w:gridCol w:w="2508"/>
        <w:gridCol w:w="2425"/>
        <w:gridCol w:w="2285"/>
      </w:tblGrid>
      <w:tr w:rsidR="0029231C" w:rsidRPr="00A26A8E" w:rsidTr="00B85466">
        <w:tc>
          <w:tcPr>
            <w:tcW w:w="2448" w:type="dxa"/>
            <w:vAlign w:val="center"/>
          </w:tcPr>
          <w:p w:rsidR="0029231C" w:rsidRPr="00A26A8E" w:rsidRDefault="00B85466" w:rsidP="00B85466">
            <w:pPr>
              <w:spacing w:before="120" w:after="120"/>
              <w:rPr>
                <w:rFonts w:ascii="Times New Roman" w:hAnsi="Times New Roman" w:cs="Times New Roman"/>
              </w:rPr>
            </w:pPr>
            <w:r w:rsidRPr="00A26A8E">
              <w:rPr>
                <w:rFonts w:ascii="Times New Roman" w:hAnsi="Times New Roman" w:cs="Times New Roman"/>
              </w:rPr>
              <w:t>Address</w:t>
            </w:r>
            <w:r w:rsidR="00287333">
              <w:rPr>
                <w:rFonts w:ascii="Times New Roman" w:hAnsi="Times New Roman" w:cs="Times New Roman"/>
              </w:rPr>
              <w:t xml:space="preserve"> of Connection</w:t>
            </w:r>
          </w:p>
        </w:tc>
        <w:tc>
          <w:tcPr>
            <w:tcW w:w="7218" w:type="dxa"/>
            <w:gridSpan w:val="3"/>
            <w:vAlign w:val="center"/>
          </w:tcPr>
          <w:p w:rsidR="0029231C" w:rsidRPr="00A26A8E" w:rsidRDefault="0029231C" w:rsidP="00DA6628">
            <w:pPr>
              <w:spacing w:before="120" w:after="120"/>
              <w:rPr>
                <w:rFonts w:ascii="Times New Roman" w:hAnsi="Times New Roman" w:cs="Times New Roman"/>
              </w:rPr>
            </w:pPr>
          </w:p>
        </w:tc>
      </w:tr>
      <w:tr w:rsidR="00B85466" w:rsidRPr="00A26A8E" w:rsidTr="00B85466">
        <w:tc>
          <w:tcPr>
            <w:tcW w:w="2448" w:type="dxa"/>
            <w:vAlign w:val="center"/>
          </w:tcPr>
          <w:p w:rsidR="00B85466" w:rsidRPr="00A26A8E" w:rsidRDefault="00287333" w:rsidP="00287333">
            <w:pPr>
              <w:spacing w:before="120" w:after="120"/>
              <w:rPr>
                <w:rFonts w:ascii="Times New Roman" w:hAnsi="Times New Roman" w:cs="Times New Roman"/>
              </w:rPr>
            </w:pPr>
            <w:r>
              <w:rPr>
                <w:rFonts w:ascii="Times New Roman" w:hAnsi="Times New Roman" w:cs="Times New Roman"/>
              </w:rPr>
              <w:t>Make/Model</w:t>
            </w:r>
          </w:p>
        </w:tc>
        <w:tc>
          <w:tcPr>
            <w:tcW w:w="7218" w:type="dxa"/>
            <w:gridSpan w:val="3"/>
            <w:vAlign w:val="center"/>
          </w:tcPr>
          <w:p w:rsidR="00B85466" w:rsidRPr="00A26A8E" w:rsidRDefault="00B85466" w:rsidP="00DA6628">
            <w:pPr>
              <w:spacing w:before="120" w:after="120"/>
              <w:rPr>
                <w:rFonts w:ascii="Times New Roman" w:hAnsi="Times New Roman" w:cs="Times New Roman"/>
              </w:rPr>
            </w:pPr>
          </w:p>
        </w:tc>
      </w:tr>
      <w:tr w:rsidR="0029231C" w:rsidRPr="00A26A8E" w:rsidTr="00B85466">
        <w:tc>
          <w:tcPr>
            <w:tcW w:w="2448"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Inspector’s Name</w:t>
            </w:r>
          </w:p>
        </w:tc>
        <w:tc>
          <w:tcPr>
            <w:tcW w:w="7218" w:type="dxa"/>
            <w:gridSpan w:val="3"/>
            <w:vAlign w:val="center"/>
          </w:tcPr>
          <w:p w:rsidR="0029231C" w:rsidRPr="00A26A8E" w:rsidRDefault="0029231C" w:rsidP="00DA6628">
            <w:pPr>
              <w:spacing w:before="120" w:after="120"/>
              <w:rPr>
                <w:rFonts w:ascii="Times New Roman" w:hAnsi="Times New Roman" w:cs="Times New Roman"/>
              </w:rPr>
            </w:pPr>
          </w:p>
        </w:tc>
      </w:tr>
      <w:tr w:rsidR="0029231C" w:rsidRPr="00A26A8E" w:rsidTr="00B85466">
        <w:tc>
          <w:tcPr>
            <w:tcW w:w="2448"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Date of Inspection</w:t>
            </w:r>
          </w:p>
        </w:tc>
        <w:tc>
          <w:tcPr>
            <w:tcW w:w="2508" w:type="dxa"/>
            <w:vAlign w:val="center"/>
          </w:tcPr>
          <w:p w:rsidR="0029231C" w:rsidRPr="00A26A8E" w:rsidRDefault="0029231C" w:rsidP="00DA6628">
            <w:pPr>
              <w:spacing w:before="120" w:after="120"/>
              <w:rPr>
                <w:rFonts w:ascii="Times New Roman" w:hAnsi="Times New Roman" w:cs="Times New Roman"/>
              </w:rPr>
            </w:pPr>
          </w:p>
        </w:tc>
        <w:tc>
          <w:tcPr>
            <w:tcW w:w="2425"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Date of Last Inspection</w:t>
            </w:r>
          </w:p>
        </w:tc>
        <w:tc>
          <w:tcPr>
            <w:tcW w:w="2285" w:type="dxa"/>
            <w:vAlign w:val="center"/>
          </w:tcPr>
          <w:p w:rsidR="0029231C" w:rsidRPr="00A26A8E" w:rsidRDefault="0029231C" w:rsidP="00DA6628">
            <w:pPr>
              <w:spacing w:before="120" w:after="120"/>
              <w:rPr>
                <w:rFonts w:ascii="Times New Roman" w:hAnsi="Times New Roman" w:cs="Times New Roman"/>
              </w:rPr>
            </w:pPr>
          </w:p>
        </w:tc>
      </w:tr>
      <w:tr w:rsidR="0029231C" w:rsidRPr="00A26A8E" w:rsidTr="00B85466">
        <w:tc>
          <w:tcPr>
            <w:tcW w:w="2448"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Start Time</w:t>
            </w:r>
          </w:p>
        </w:tc>
        <w:tc>
          <w:tcPr>
            <w:tcW w:w="2508" w:type="dxa"/>
            <w:vAlign w:val="center"/>
          </w:tcPr>
          <w:p w:rsidR="0029231C" w:rsidRPr="00A26A8E" w:rsidRDefault="0029231C" w:rsidP="00DA6628">
            <w:pPr>
              <w:spacing w:before="120" w:after="120"/>
              <w:rPr>
                <w:rFonts w:ascii="Times New Roman" w:hAnsi="Times New Roman" w:cs="Times New Roman"/>
              </w:rPr>
            </w:pPr>
          </w:p>
        </w:tc>
        <w:tc>
          <w:tcPr>
            <w:tcW w:w="2425"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End Time</w:t>
            </w:r>
          </w:p>
        </w:tc>
        <w:tc>
          <w:tcPr>
            <w:tcW w:w="2285" w:type="dxa"/>
            <w:vAlign w:val="center"/>
          </w:tcPr>
          <w:p w:rsidR="0029231C" w:rsidRPr="00A26A8E" w:rsidRDefault="0029231C" w:rsidP="00DA6628">
            <w:pPr>
              <w:spacing w:before="120" w:after="120"/>
              <w:rPr>
                <w:rFonts w:ascii="Times New Roman" w:hAnsi="Times New Roman" w:cs="Times New Roman"/>
              </w:rPr>
            </w:pPr>
          </w:p>
        </w:tc>
      </w:tr>
    </w:tbl>
    <w:p w:rsidR="0044257F" w:rsidRPr="00A26A8E" w:rsidRDefault="0044257F">
      <w:pPr>
        <w:rPr>
          <w:rFonts w:ascii="Times New Roman" w:hAnsi="Times New Roman" w:cs="Times New Roman"/>
        </w:rPr>
      </w:pPr>
    </w:p>
    <w:p w:rsidR="00C853DD" w:rsidRPr="00287333" w:rsidRDefault="00287333" w:rsidP="00FD1DDD">
      <w:pPr>
        <w:spacing w:line="240" w:lineRule="auto"/>
        <w:rPr>
          <w:rFonts w:ascii="Times New Roman" w:hAnsi="Times New Roman" w:cs="Times New Roman"/>
          <w:b/>
        </w:rPr>
      </w:pPr>
      <w:r>
        <w:rPr>
          <w:rFonts w:ascii="Times New Roman" w:hAnsi="Times New Roman" w:cs="Times New Roman"/>
          <w:b/>
        </w:rPr>
        <w:t>Compliance Review</w:t>
      </w:r>
    </w:p>
    <w:p w:rsidR="00C853DD" w:rsidRPr="00A26A8E" w:rsidRDefault="00C853DD" w:rsidP="00FD1DDD">
      <w:pPr>
        <w:spacing w:line="240" w:lineRule="auto"/>
        <w:rPr>
          <w:rFonts w:ascii="Times New Roman" w:hAnsi="Times New Roman" w:cs="Times New Roman"/>
        </w:rPr>
      </w:pPr>
    </w:p>
    <w:p w:rsidR="00287333" w:rsidRDefault="00FD1DDD" w:rsidP="00FD1DDD">
      <w:pPr>
        <w:jc w:val="both"/>
        <w:rPr>
          <w:rFonts w:ascii="Times New Roman" w:hAnsi="Times New Roman" w:cs="Times New Roman"/>
        </w:rPr>
      </w:pPr>
      <w:r>
        <w:rPr>
          <w:rFonts w:ascii="Times New Roman" w:hAnsi="Times New Roman" w:cs="Times New Roman"/>
        </w:rPr>
        <w:t xml:space="preserve">Each of the following conditions should be evaluated as “True” during the on-site inspection to demonstrate compliance.  </w:t>
      </w:r>
      <w:r w:rsidR="00842640" w:rsidRPr="00A26A8E">
        <w:rPr>
          <w:rFonts w:ascii="Times New Roman" w:hAnsi="Times New Roman" w:cs="Times New Roman"/>
        </w:rPr>
        <w:t>If any of the following conditions, as recorded during the inspection</w:t>
      </w:r>
      <w:r w:rsidR="00287333">
        <w:rPr>
          <w:rFonts w:ascii="Times New Roman" w:hAnsi="Times New Roman" w:cs="Times New Roman"/>
        </w:rPr>
        <w:t xml:space="preserve">, are not satisfied (i.e., </w:t>
      </w:r>
      <w:r>
        <w:rPr>
          <w:rFonts w:ascii="Times New Roman" w:hAnsi="Times New Roman" w:cs="Times New Roman"/>
        </w:rPr>
        <w:t>if the evaluation is “False</w:t>
      </w:r>
      <w:r w:rsidR="00287333">
        <w:rPr>
          <w:rFonts w:ascii="Times New Roman" w:hAnsi="Times New Roman" w:cs="Times New Roman"/>
        </w:rPr>
        <w:t>”)</w:t>
      </w:r>
      <w:r w:rsidR="00842640" w:rsidRPr="00A26A8E">
        <w:rPr>
          <w:rFonts w:ascii="Times New Roman" w:hAnsi="Times New Roman" w:cs="Times New Roman"/>
        </w:rPr>
        <w:t xml:space="preserve">, the sump pump shall be considered to be in violation of the original connection </w:t>
      </w:r>
      <w:r w:rsidR="00AF779C" w:rsidRPr="00A26A8E">
        <w:rPr>
          <w:rFonts w:ascii="Times New Roman" w:hAnsi="Times New Roman" w:cs="Times New Roman"/>
        </w:rPr>
        <w:t>A</w:t>
      </w:r>
      <w:r w:rsidR="00842640" w:rsidRPr="00A26A8E">
        <w:rPr>
          <w:rFonts w:ascii="Times New Roman" w:hAnsi="Times New Roman" w:cs="Times New Roman"/>
        </w:rPr>
        <w:t xml:space="preserve">greement. </w:t>
      </w:r>
    </w:p>
    <w:p w:rsidR="00287333" w:rsidRDefault="00287333" w:rsidP="00287333">
      <w:pPr>
        <w:jc w:val="both"/>
        <w:rPr>
          <w:rFonts w:ascii="Times New Roman" w:hAnsi="Times New Roman" w:cs="Times New Roman"/>
        </w:rPr>
      </w:pPr>
    </w:p>
    <w:p w:rsidR="00287333" w:rsidRDefault="00287333" w:rsidP="00FD1DDD">
      <w:pPr>
        <w:spacing w:line="240" w:lineRule="auto"/>
        <w:jc w:val="both"/>
        <w:rPr>
          <w:rFonts w:ascii="Times New Roman" w:hAnsi="Times New Roman" w:cs="Times New Roman"/>
          <w:i/>
        </w:rPr>
      </w:pPr>
      <w:r>
        <w:rPr>
          <w:rFonts w:ascii="Times New Roman" w:hAnsi="Times New Roman" w:cs="Times New Roman"/>
          <w:i/>
        </w:rPr>
        <w:t>Prior to the Inspection</w:t>
      </w:r>
    </w:p>
    <w:p w:rsidR="00287333" w:rsidRDefault="00287333" w:rsidP="00FD1DDD">
      <w:pPr>
        <w:spacing w:line="240" w:lineRule="auto"/>
        <w:jc w:val="both"/>
        <w:rPr>
          <w:rFonts w:ascii="Times New Roman" w:hAnsi="Times New Roman" w:cs="Times New Roman"/>
          <w:i/>
        </w:rPr>
      </w:pPr>
    </w:p>
    <w:p w:rsidR="00287333" w:rsidRPr="00287333" w:rsidRDefault="00287333" w:rsidP="00FD1DDD">
      <w:pPr>
        <w:jc w:val="both"/>
        <w:rPr>
          <w:rFonts w:ascii="Times New Roman" w:hAnsi="Times New Roman" w:cs="Times New Roman"/>
        </w:rPr>
      </w:pPr>
      <w:r>
        <w:rPr>
          <w:rFonts w:ascii="Times New Roman" w:hAnsi="Times New Roman" w:cs="Times New Roman"/>
        </w:rPr>
        <w:t xml:space="preserve">The inspector shall review the following questions prior to completing the on-site inspection. </w:t>
      </w:r>
    </w:p>
    <w:p w:rsidR="0074777E" w:rsidRDefault="0074777E" w:rsidP="00287333">
      <w:pPr>
        <w:jc w:val="both"/>
        <w:rPr>
          <w:rFonts w:ascii="Times New Roman" w:hAnsi="Times New Roman" w:cs="Times New Roman"/>
        </w:rPr>
      </w:pPr>
    </w:p>
    <w:p w:rsidR="0074777E" w:rsidRDefault="0074777E" w:rsidP="00287333">
      <w:pPr>
        <w:jc w:val="both"/>
        <w:rPr>
          <w:rFonts w:ascii="Times New Roman" w:hAnsi="Times New Roman" w:cs="Times New Roman"/>
        </w:rPr>
      </w:pPr>
    </w:p>
    <w:tbl>
      <w:tblPr>
        <w:tblStyle w:val="TableGrid"/>
        <w:tblW w:w="9738" w:type="dxa"/>
        <w:tblLook w:val="04A0"/>
      </w:tblPr>
      <w:tblGrid>
        <w:gridCol w:w="4068"/>
        <w:gridCol w:w="2070"/>
        <w:gridCol w:w="3600"/>
      </w:tblGrid>
      <w:tr w:rsidR="00287333" w:rsidRPr="00A26A8E" w:rsidTr="0074777E">
        <w:tc>
          <w:tcPr>
            <w:tcW w:w="4068" w:type="dxa"/>
            <w:vAlign w:val="center"/>
          </w:tcPr>
          <w:p w:rsidR="00287333" w:rsidRPr="00287333" w:rsidRDefault="00287333" w:rsidP="00287333">
            <w:pPr>
              <w:spacing w:before="120" w:after="120"/>
              <w:jc w:val="center"/>
              <w:rPr>
                <w:rFonts w:ascii="Times New Roman" w:hAnsi="Times New Roman" w:cs="Times New Roman"/>
                <w:b/>
              </w:rPr>
            </w:pPr>
            <w:r w:rsidRPr="00287333">
              <w:rPr>
                <w:rFonts w:ascii="Times New Roman" w:hAnsi="Times New Roman" w:cs="Times New Roman"/>
                <w:b/>
              </w:rPr>
              <w:lastRenderedPageBreak/>
              <w:t>Condition</w:t>
            </w:r>
          </w:p>
        </w:tc>
        <w:tc>
          <w:tcPr>
            <w:tcW w:w="2070" w:type="dxa"/>
            <w:vAlign w:val="center"/>
          </w:tcPr>
          <w:p w:rsidR="00287333" w:rsidRPr="00287333" w:rsidRDefault="00287333" w:rsidP="00287333">
            <w:pPr>
              <w:spacing w:before="120" w:after="120"/>
              <w:jc w:val="center"/>
              <w:rPr>
                <w:rFonts w:ascii="Times New Roman" w:hAnsi="Times New Roman" w:cs="Times New Roman"/>
                <w:b/>
              </w:rPr>
            </w:pPr>
            <w:r>
              <w:rPr>
                <w:rFonts w:ascii="Times New Roman" w:hAnsi="Times New Roman" w:cs="Times New Roman"/>
                <w:b/>
              </w:rPr>
              <w:t>Evaluation</w:t>
            </w:r>
          </w:p>
        </w:tc>
        <w:tc>
          <w:tcPr>
            <w:tcW w:w="3600" w:type="dxa"/>
            <w:vAlign w:val="center"/>
          </w:tcPr>
          <w:p w:rsidR="00287333" w:rsidRPr="00287333" w:rsidRDefault="00287333" w:rsidP="00287333">
            <w:pPr>
              <w:spacing w:before="120" w:after="120"/>
              <w:jc w:val="center"/>
              <w:rPr>
                <w:rFonts w:ascii="Times New Roman" w:hAnsi="Times New Roman" w:cs="Times New Roman"/>
                <w:b/>
              </w:rPr>
            </w:pPr>
            <w:r w:rsidRPr="00287333">
              <w:rPr>
                <w:rFonts w:ascii="Times New Roman" w:hAnsi="Times New Roman" w:cs="Times New Roman"/>
                <w:b/>
              </w:rPr>
              <w:t>Comment</w:t>
            </w:r>
          </w:p>
        </w:tc>
      </w:tr>
      <w:tr w:rsidR="00287333" w:rsidRPr="00A26A8E" w:rsidTr="0074777E">
        <w:tc>
          <w:tcPr>
            <w:tcW w:w="4068" w:type="dxa"/>
          </w:tcPr>
          <w:p w:rsidR="00287333" w:rsidRPr="00A26A8E" w:rsidRDefault="00287333" w:rsidP="00287333">
            <w:pPr>
              <w:spacing w:before="120" w:after="120"/>
              <w:rPr>
                <w:rFonts w:ascii="Times New Roman" w:hAnsi="Times New Roman" w:cs="Times New Roman"/>
              </w:rPr>
            </w:pPr>
            <w:r w:rsidRPr="00A26A8E">
              <w:rPr>
                <w:rFonts w:ascii="Times New Roman" w:hAnsi="Times New Roman" w:cs="Times New Roman"/>
              </w:rPr>
              <w:t>A covenant for the property to reflect the drainage connection has been recorded at the Registry of Deeds</w:t>
            </w:r>
          </w:p>
        </w:tc>
        <w:tc>
          <w:tcPr>
            <w:tcW w:w="2070" w:type="dxa"/>
            <w:vAlign w:val="center"/>
          </w:tcPr>
          <w:p w:rsidR="00287333" w:rsidRDefault="00287333" w:rsidP="00FD1DDD">
            <w:r w:rsidRPr="00221040">
              <w:rPr>
                <w:rFonts w:ascii="Times New Roman" w:hAnsi="Times New Roman" w:cs="Times New Roman"/>
                <w:bCs/>
              </w:rPr>
              <w:t xml:space="preserve">True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p>
        </w:tc>
        <w:tc>
          <w:tcPr>
            <w:tcW w:w="3600" w:type="dxa"/>
          </w:tcPr>
          <w:p w:rsidR="00287333" w:rsidRPr="00A26A8E" w:rsidRDefault="00287333" w:rsidP="00287333">
            <w:pPr>
              <w:spacing w:before="120" w:after="120"/>
              <w:jc w:val="center"/>
              <w:rPr>
                <w:rFonts w:ascii="Times New Roman" w:hAnsi="Times New Roman" w:cs="Times New Roman"/>
              </w:rPr>
            </w:pPr>
          </w:p>
        </w:tc>
      </w:tr>
      <w:tr w:rsidR="00287333" w:rsidRPr="00A26A8E" w:rsidTr="0074777E">
        <w:tc>
          <w:tcPr>
            <w:tcW w:w="4068" w:type="dxa"/>
            <w:vAlign w:val="center"/>
          </w:tcPr>
          <w:p w:rsidR="00287333" w:rsidRPr="00A26A8E" w:rsidRDefault="00287333" w:rsidP="00287333">
            <w:pPr>
              <w:spacing w:before="120" w:after="120"/>
              <w:rPr>
                <w:rFonts w:ascii="Times New Roman" w:hAnsi="Times New Roman" w:cs="Times New Roman"/>
              </w:rPr>
            </w:pPr>
            <w:r w:rsidRPr="00A26A8E">
              <w:rPr>
                <w:rFonts w:ascii="Times New Roman" w:hAnsi="Times New Roman" w:cs="Times New Roman"/>
              </w:rPr>
              <w:t xml:space="preserve">Record drawings documenting the location of the discharge </w:t>
            </w:r>
            <w:r>
              <w:rPr>
                <w:rFonts w:ascii="Times New Roman" w:hAnsi="Times New Roman" w:cs="Times New Roman"/>
              </w:rPr>
              <w:t>were</w:t>
            </w:r>
            <w:r w:rsidRPr="00A26A8E">
              <w:rPr>
                <w:rFonts w:ascii="Times New Roman" w:hAnsi="Times New Roman" w:cs="Times New Roman"/>
              </w:rPr>
              <w:t xml:space="preserve"> supplied to the municipality</w:t>
            </w:r>
            <w:r>
              <w:rPr>
                <w:rFonts w:ascii="Times New Roman" w:hAnsi="Times New Roman" w:cs="Times New Roman"/>
              </w:rPr>
              <w:t xml:space="preserve"> after construction. </w:t>
            </w:r>
          </w:p>
        </w:tc>
        <w:tc>
          <w:tcPr>
            <w:tcW w:w="2070" w:type="dxa"/>
            <w:vAlign w:val="center"/>
          </w:tcPr>
          <w:p w:rsidR="00287333" w:rsidRDefault="00287333" w:rsidP="00FD1DDD">
            <w:r w:rsidRPr="00221040">
              <w:rPr>
                <w:rFonts w:ascii="Times New Roman" w:hAnsi="Times New Roman" w:cs="Times New Roman"/>
                <w:bCs/>
              </w:rPr>
              <w:t xml:space="preserve">True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p>
        </w:tc>
        <w:tc>
          <w:tcPr>
            <w:tcW w:w="3600" w:type="dxa"/>
            <w:vAlign w:val="center"/>
          </w:tcPr>
          <w:p w:rsidR="00287333" w:rsidRPr="00A26A8E" w:rsidRDefault="00287333" w:rsidP="00287333">
            <w:pPr>
              <w:spacing w:before="120" w:after="120"/>
              <w:jc w:val="center"/>
              <w:rPr>
                <w:rFonts w:ascii="Times New Roman" w:hAnsi="Times New Roman" w:cs="Times New Roman"/>
              </w:rPr>
            </w:pPr>
          </w:p>
        </w:tc>
      </w:tr>
      <w:tr w:rsidR="00287333" w:rsidRPr="00A26A8E" w:rsidTr="0074777E">
        <w:tc>
          <w:tcPr>
            <w:tcW w:w="4068" w:type="dxa"/>
            <w:vAlign w:val="center"/>
          </w:tcPr>
          <w:p w:rsidR="00287333" w:rsidRPr="00A26A8E" w:rsidRDefault="00FD1DDD" w:rsidP="00FD1DDD">
            <w:pPr>
              <w:spacing w:before="120" w:after="120"/>
              <w:rPr>
                <w:rFonts w:ascii="Times New Roman" w:hAnsi="Times New Roman" w:cs="Times New Roman"/>
              </w:rPr>
            </w:pPr>
            <w:r w:rsidRPr="00FD1DDD">
              <w:rPr>
                <w:rFonts w:ascii="Times New Roman" w:hAnsi="Times New Roman" w:cs="Times New Roman"/>
                <w:b/>
              </w:rPr>
              <w:t>If property has an oil/water separator:</w:t>
            </w:r>
            <w:r>
              <w:rPr>
                <w:rFonts w:ascii="Times New Roman" w:hAnsi="Times New Roman" w:cs="Times New Roman"/>
              </w:rPr>
              <w:t xml:space="preserve"> e</w:t>
            </w:r>
            <w:r w:rsidR="00287333" w:rsidRPr="00A26A8E">
              <w:rPr>
                <w:rFonts w:ascii="Times New Roman" w:hAnsi="Times New Roman" w:cs="Times New Roman"/>
              </w:rPr>
              <w:t xml:space="preserve">vidence of annual maintenance of oil/water separator </w:t>
            </w:r>
            <w:r>
              <w:rPr>
                <w:rFonts w:ascii="Times New Roman" w:hAnsi="Times New Roman" w:cs="Times New Roman"/>
              </w:rPr>
              <w:t xml:space="preserve">was provided to municipality in previous period </w:t>
            </w:r>
          </w:p>
        </w:tc>
        <w:tc>
          <w:tcPr>
            <w:tcW w:w="2070" w:type="dxa"/>
            <w:vAlign w:val="center"/>
          </w:tcPr>
          <w:p w:rsidR="00287333" w:rsidRDefault="00287333" w:rsidP="00FD1DDD">
            <w:r w:rsidRPr="00221040">
              <w:rPr>
                <w:rFonts w:ascii="Times New Roman" w:hAnsi="Times New Roman" w:cs="Times New Roman"/>
                <w:bCs/>
              </w:rPr>
              <w:t xml:space="preserve">True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p>
        </w:tc>
        <w:tc>
          <w:tcPr>
            <w:tcW w:w="3600" w:type="dxa"/>
            <w:vAlign w:val="center"/>
          </w:tcPr>
          <w:p w:rsidR="00287333" w:rsidRPr="00A26A8E" w:rsidRDefault="00287333" w:rsidP="00287333">
            <w:pPr>
              <w:spacing w:before="120" w:after="120"/>
              <w:jc w:val="center"/>
              <w:rPr>
                <w:rFonts w:ascii="Times New Roman" w:hAnsi="Times New Roman" w:cs="Times New Roman"/>
              </w:rPr>
            </w:pPr>
          </w:p>
        </w:tc>
      </w:tr>
      <w:tr w:rsidR="00287333" w:rsidRPr="00A26A8E" w:rsidTr="0074777E">
        <w:tc>
          <w:tcPr>
            <w:tcW w:w="4068" w:type="dxa"/>
            <w:vAlign w:val="center"/>
          </w:tcPr>
          <w:p w:rsidR="00287333" w:rsidRPr="00A26A8E" w:rsidRDefault="00FD1DDD" w:rsidP="00FD1DDD">
            <w:pPr>
              <w:spacing w:before="120" w:after="120"/>
              <w:rPr>
                <w:rFonts w:ascii="Times New Roman" w:hAnsi="Times New Roman" w:cs="Times New Roman"/>
              </w:rPr>
            </w:pPr>
            <w:r w:rsidRPr="00FD1DDD">
              <w:rPr>
                <w:rFonts w:ascii="Times New Roman" w:hAnsi="Times New Roman" w:cs="Times New Roman"/>
                <w:b/>
              </w:rPr>
              <w:t>If property was required to complete analytical monitoring:</w:t>
            </w:r>
            <w:r>
              <w:rPr>
                <w:rFonts w:ascii="Times New Roman" w:hAnsi="Times New Roman" w:cs="Times New Roman"/>
              </w:rPr>
              <w:t xml:space="preserve"> r</w:t>
            </w:r>
            <w:r w:rsidR="00287333" w:rsidRPr="00A26A8E">
              <w:rPr>
                <w:rFonts w:ascii="Times New Roman" w:hAnsi="Times New Roman" w:cs="Times New Roman"/>
              </w:rPr>
              <w:t xml:space="preserve">esults of analytical testing of discharge provided to municipality </w:t>
            </w:r>
            <w:r>
              <w:rPr>
                <w:rFonts w:ascii="Times New Roman" w:hAnsi="Times New Roman" w:cs="Times New Roman"/>
              </w:rPr>
              <w:t xml:space="preserve">in previous period. </w:t>
            </w:r>
          </w:p>
        </w:tc>
        <w:tc>
          <w:tcPr>
            <w:tcW w:w="2070" w:type="dxa"/>
            <w:vAlign w:val="center"/>
          </w:tcPr>
          <w:p w:rsidR="00287333" w:rsidRDefault="00287333" w:rsidP="00FD1DDD">
            <w:r w:rsidRPr="00221040">
              <w:rPr>
                <w:rFonts w:ascii="Times New Roman" w:hAnsi="Times New Roman" w:cs="Times New Roman"/>
                <w:bCs/>
              </w:rPr>
              <w:t xml:space="preserve">True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p>
        </w:tc>
        <w:tc>
          <w:tcPr>
            <w:tcW w:w="3600" w:type="dxa"/>
            <w:vAlign w:val="center"/>
          </w:tcPr>
          <w:p w:rsidR="00287333" w:rsidRPr="00A26A8E" w:rsidRDefault="00287333" w:rsidP="00287333">
            <w:pPr>
              <w:spacing w:before="120" w:after="120"/>
              <w:jc w:val="center"/>
              <w:rPr>
                <w:rFonts w:ascii="Times New Roman" w:hAnsi="Times New Roman" w:cs="Times New Roman"/>
              </w:rPr>
            </w:pPr>
          </w:p>
        </w:tc>
      </w:tr>
      <w:tr w:rsidR="00FD1DDD" w:rsidRPr="00A26A8E" w:rsidTr="0074777E">
        <w:trPr>
          <w:trHeight w:val="440"/>
        </w:trPr>
        <w:tc>
          <w:tcPr>
            <w:tcW w:w="9738" w:type="dxa"/>
            <w:gridSpan w:val="3"/>
          </w:tcPr>
          <w:p w:rsidR="00FD1DDD" w:rsidRPr="00A26A8E" w:rsidRDefault="00FD1DDD" w:rsidP="00FD1DDD">
            <w:pPr>
              <w:spacing w:before="120" w:after="120"/>
              <w:rPr>
                <w:rFonts w:ascii="Times New Roman" w:hAnsi="Times New Roman" w:cs="Times New Roman"/>
              </w:rPr>
            </w:pPr>
            <w:r>
              <w:rPr>
                <w:rFonts w:ascii="Times New Roman" w:hAnsi="Times New Roman" w:cs="Times New Roman"/>
              </w:rPr>
              <w:t>Other:</w:t>
            </w:r>
          </w:p>
        </w:tc>
      </w:tr>
    </w:tbl>
    <w:p w:rsidR="00287333" w:rsidRPr="0074777E" w:rsidRDefault="00287333" w:rsidP="00612A4E">
      <w:pPr>
        <w:spacing w:line="360" w:lineRule="auto"/>
        <w:rPr>
          <w:rFonts w:ascii="Times New Roman" w:hAnsi="Times New Roman" w:cs="Times New Roman"/>
          <w:sz w:val="16"/>
          <w:szCs w:val="16"/>
        </w:rPr>
      </w:pPr>
    </w:p>
    <w:p w:rsidR="00287333" w:rsidRDefault="00287333" w:rsidP="00FD1DDD">
      <w:pPr>
        <w:spacing w:line="240" w:lineRule="auto"/>
        <w:jc w:val="both"/>
        <w:rPr>
          <w:rFonts w:ascii="Times New Roman" w:hAnsi="Times New Roman" w:cs="Times New Roman"/>
          <w:i/>
        </w:rPr>
      </w:pPr>
      <w:r>
        <w:rPr>
          <w:rFonts w:ascii="Times New Roman" w:hAnsi="Times New Roman" w:cs="Times New Roman"/>
          <w:i/>
        </w:rPr>
        <w:t>During the On-Site Inspection</w:t>
      </w:r>
    </w:p>
    <w:p w:rsidR="00287333" w:rsidRDefault="00287333" w:rsidP="00FD1DDD">
      <w:pPr>
        <w:spacing w:line="240" w:lineRule="auto"/>
        <w:rPr>
          <w:rFonts w:ascii="Times New Roman" w:hAnsi="Times New Roman" w:cs="Times New Roman"/>
        </w:rPr>
      </w:pPr>
    </w:p>
    <w:p w:rsidR="00287333" w:rsidRDefault="00287333" w:rsidP="00FD1DDD">
      <w:pPr>
        <w:jc w:val="both"/>
        <w:rPr>
          <w:rFonts w:ascii="Times New Roman" w:hAnsi="Times New Roman" w:cs="Times New Roman"/>
        </w:rPr>
      </w:pPr>
      <w:r>
        <w:rPr>
          <w:rFonts w:ascii="Times New Roman" w:hAnsi="Times New Roman" w:cs="Times New Roman"/>
        </w:rPr>
        <w:t xml:space="preserve">The inspector shall make the following observations during the on-site inspection, and note the results in the table. </w:t>
      </w:r>
    </w:p>
    <w:p w:rsidR="0074777E" w:rsidRPr="0074777E" w:rsidRDefault="0074777E" w:rsidP="00FD1DDD">
      <w:pPr>
        <w:jc w:val="both"/>
        <w:rPr>
          <w:rFonts w:ascii="Times New Roman" w:hAnsi="Times New Roman" w:cs="Times New Roman"/>
          <w:sz w:val="16"/>
          <w:szCs w:val="16"/>
        </w:rPr>
      </w:pPr>
    </w:p>
    <w:tbl>
      <w:tblPr>
        <w:tblStyle w:val="TableGrid"/>
        <w:tblW w:w="9738" w:type="dxa"/>
        <w:tblLook w:val="04A0"/>
      </w:tblPr>
      <w:tblGrid>
        <w:gridCol w:w="4068"/>
        <w:gridCol w:w="2070"/>
        <w:gridCol w:w="3600"/>
      </w:tblGrid>
      <w:tr w:rsidR="0074777E" w:rsidRPr="00287333" w:rsidTr="0074777E">
        <w:tc>
          <w:tcPr>
            <w:tcW w:w="4068" w:type="dxa"/>
            <w:vAlign w:val="center"/>
          </w:tcPr>
          <w:p w:rsidR="0074777E" w:rsidRPr="00287333" w:rsidRDefault="0074777E" w:rsidP="00003522">
            <w:pPr>
              <w:spacing w:before="120" w:after="120"/>
              <w:jc w:val="center"/>
              <w:rPr>
                <w:rFonts w:ascii="Times New Roman" w:hAnsi="Times New Roman" w:cs="Times New Roman"/>
                <w:b/>
              </w:rPr>
            </w:pPr>
            <w:r w:rsidRPr="00287333">
              <w:rPr>
                <w:rFonts w:ascii="Times New Roman" w:hAnsi="Times New Roman" w:cs="Times New Roman"/>
                <w:b/>
              </w:rPr>
              <w:t>Condition</w:t>
            </w:r>
          </w:p>
        </w:tc>
        <w:tc>
          <w:tcPr>
            <w:tcW w:w="2070" w:type="dxa"/>
            <w:vAlign w:val="center"/>
          </w:tcPr>
          <w:p w:rsidR="0074777E" w:rsidRPr="00287333" w:rsidRDefault="0074777E" w:rsidP="00003522">
            <w:pPr>
              <w:spacing w:before="120" w:after="120"/>
              <w:jc w:val="center"/>
              <w:rPr>
                <w:rFonts w:ascii="Times New Roman" w:hAnsi="Times New Roman" w:cs="Times New Roman"/>
                <w:b/>
              </w:rPr>
            </w:pPr>
            <w:r>
              <w:rPr>
                <w:rFonts w:ascii="Times New Roman" w:hAnsi="Times New Roman" w:cs="Times New Roman"/>
                <w:b/>
              </w:rPr>
              <w:t>Evaluation</w:t>
            </w:r>
          </w:p>
        </w:tc>
        <w:tc>
          <w:tcPr>
            <w:tcW w:w="3600" w:type="dxa"/>
            <w:vAlign w:val="center"/>
          </w:tcPr>
          <w:p w:rsidR="0074777E" w:rsidRPr="00287333" w:rsidRDefault="0074777E" w:rsidP="00003522">
            <w:pPr>
              <w:spacing w:before="120" w:after="120"/>
              <w:jc w:val="center"/>
              <w:rPr>
                <w:rFonts w:ascii="Times New Roman" w:hAnsi="Times New Roman" w:cs="Times New Roman"/>
                <w:b/>
              </w:rPr>
            </w:pPr>
            <w:r w:rsidRPr="00287333">
              <w:rPr>
                <w:rFonts w:ascii="Times New Roman" w:hAnsi="Times New Roman" w:cs="Times New Roman"/>
                <w:b/>
              </w:rPr>
              <w:t>Comment</w:t>
            </w:r>
          </w:p>
        </w:tc>
      </w:tr>
      <w:tr w:rsidR="0074777E" w:rsidRPr="00A26A8E" w:rsidTr="0074777E">
        <w:trPr>
          <w:trHeight w:hRule="exact" w:val="720"/>
        </w:trPr>
        <w:tc>
          <w:tcPr>
            <w:tcW w:w="4068" w:type="dxa"/>
            <w:vAlign w:val="center"/>
          </w:tcPr>
          <w:p w:rsidR="0074777E" w:rsidRPr="00A26A8E" w:rsidRDefault="0074777E" w:rsidP="00003522">
            <w:pPr>
              <w:spacing w:before="120" w:after="120"/>
              <w:rPr>
                <w:rFonts w:ascii="Times New Roman" w:hAnsi="Times New Roman" w:cs="Times New Roman"/>
              </w:rPr>
            </w:pPr>
            <w:r w:rsidRPr="00A26A8E">
              <w:rPr>
                <w:rFonts w:ascii="Times New Roman" w:hAnsi="Times New Roman" w:cs="Times New Roman"/>
              </w:rPr>
              <w:t>Sump pump is used for the discharge of stormwater only</w:t>
            </w:r>
          </w:p>
        </w:tc>
        <w:tc>
          <w:tcPr>
            <w:tcW w:w="2070" w:type="dxa"/>
            <w:vAlign w:val="center"/>
          </w:tcPr>
          <w:p w:rsidR="0074777E" w:rsidRPr="00A26A8E" w:rsidRDefault="0074777E" w:rsidP="00003522">
            <w:pPr>
              <w:spacing w:before="120" w:after="120"/>
              <w:jc w:val="center"/>
              <w:rPr>
                <w:rFonts w:ascii="Times New Roman" w:hAnsi="Times New Roman" w:cs="Times New Roman"/>
                <w:bCs/>
              </w:rPr>
            </w:pPr>
            <w:r>
              <w:rPr>
                <w:rFonts w:ascii="Times New Roman" w:hAnsi="Times New Roman" w:cs="Times New Roman"/>
                <w:bCs/>
              </w:rPr>
              <w:t xml:space="preserve">True </w:t>
            </w:r>
            <w:r w:rsidRPr="00A26A8E">
              <w:rPr>
                <w:rFonts w:ascii="Times New Roman" w:hAnsi="Times New Roman" w:cs="Times New Roman"/>
                <w:bCs/>
              </w:rPr>
              <w:t xml:space="preserve"> </w:t>
            </w:r>
            <w:r w:rsidRPr="00A26A8E">
              <w:rPr>
                <w:rFonts w:ascii="Times New Roman" w:hAnsi="Times New Roman" w:cs="Times New Roman"/>
                <w:bCs/>
              </w:rPr>
              <w:fldChar w:fldCharType="begin">
                <w:ffData>
                  <w:name w:val="Check16"/>
                  <w:enabled/>
                  <w:calcOnExit w:val="0"/>
                  <w:checkBox>
                    <w:sizeAuto/>
                    <w:default w:val="0"/>
                  </w:checkBox>
                </w:ffData>
              </w:fldChar>
            </w:r>
            <w:r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r>
              <w:rPr>
                <w:rFonts w:ascii="Times New Roman" w:hAnsi="Times New Roman" w:cs="Times New Roman"/>
                <w:bCs/>
              </w:rPr>
              <w:t xml:space="preserve">   False </w:t>
            </w:r>
            <w:r w:rsidRPr="00A26A8E">
              <w:rPr>
                <w:rFonts w:ascii="Times New Roman" w:hAnsi="Times New Roman" w:cs="Times New Roman"/>
                <w:bCs/>
              </w:rPr>
              <w:t xml:space="preserve"> </w:t>
            </w:r>
            <w:r w:rsidRPr="00A26A8E">
              <w:rPr>
                <w:rFonts w:ascii="Times New Roman" w:hAnsi="Times New Roman" w:cs="Times New Roman"/>
                <w:bCs/>
              </w:rPr>
              <w:fldChar w:fldCharType="begin">
                <w:ffData>
                  <w:name w:val="Check16"/>
                  <w:enabled/>
                  <w:calcOnExit w:val="0"/>
                  <w:checkBox>
                    <w:sizeAuto/>
                    <w:default w:val="0"/>
                  </w:checkBox>
                </w:ffData>
              </w:fldChar>
            </w:r>
            <w:r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3600" w:type="dxa"/>
            <w:vAlign w:val="center"/>
          </w:tcPr>
          <w:p w:rsidR="0074777E" w:rsidRPr="00A26A8E" w:rsidRDefault="0074777E" w:rsidP="00003522">
            <w:pPr>
              <w:spacing w:before="120" w:after="120"/>
              <w:jc w:val="center"/>
              <w:rPr>
                <w:rFonts w:ascii="Times New Roman" w:hAnsi="Times New Roman" w:cs="Times New Roman"/>
              </w:rPr>
            </w:pPr>
          </w:p>
        </w:tc>
      </w:tr>
      <w:tr w:rsidR="0074777E" w:rsidRPr="00A26A8E" w:rsidTr="0074777E">
        <w:trPr>
          <w:trHeight w:hRule="exact" w:val="720"/>
        </w:trPr>
        <w:tc>
          <w:tcPr>
            <w:tcW w:w="4068" w:type="dxa"/>
            <w:vAlign w:val="center"/>
          </w:tcPr>
          <w:p w:rsidR="0074777E" w:rsidRPr="00A26A8E" w:rsidRDefault="0074777E" w:rsidP="00003522">
            <w:pPr>
              <w:spacing w:before="120" w:after="120"/>
              <w:rPr>
                <w:rFonts w:ascii="Times New Roman" w:hAnsi="Times New Roman" w:cs="Times New Roman"/>
              </w:rPr>
            </w:pPr>
            <w:r>
              <w:rPr>
                <w:rFonts w:ascii="Times New Roman" w:hAnsi="Times New Roman" w:cs="Times New Roman"/>
              </w:rPr>
              <w:t xml:space="preserve">The discharge, and liquid in the sump, is visibly free of oil or other pollutants. </w:t>
            </w:r>
          </w:p>
        </w:tc>
        <w:tc>
          <w:tcPr>
            <w:tcW w:w="2070" w:type="dxa"/>
            <w:vAlign w:val="center"/>
          </w:tcPr>
          <w:p w:rsidR="0074777E" w:rsidRDefault="0074777E" w:rsidP="00003522">
            <w:pPr>
              <w:jc w:val="center"/>
            </w:pPr>
            <w:r w:rsidRPr="00221040">
              <w:rPr>
                <w:rFonts w:ascii="Times New Roman" w:hAnsi="Times New Roman" w:cs="Times New Roman"/>
                <w:bCs/>
              </w:rPr>
              <w:t xml:space="preserve">True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r w:rsidRPr="00221040">
              <w:rPr>
                <w:rFonts w:ascii="Times New Roman" w:hAnsi="Times New Roman" w:cs="Times New Roman"/>
                <w:bCs/>
              </w:rPr>
              <w:t xml:space="preserve">   False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p>
        </w:tc>
        <w:tc>
          <w:tcPr>
            <w:tcW w:w="3600" w:type="dxa"/>
            <w:vAlign w:val="center"/>
          </w:tcPr>
          <w:p w:rsidR="0074777E" w:rsidRPr="00A26A8E" w:rsidRDefault="0074777E" w:rsidP="00003522">
            <w:pPr>
              <w:spacing w:before="120" w:after="120"/>
              <w:jc w:val="center"/>
              <w:rPr>
                <w:rFonts w:ascii="Times New Roman" w:hAnsi="Times New Roman" w:cs="Times New Roman"/>
              </w:rPr>
            </w:pPr>
          </w:p>
        </w:tc>
      </w:tr>
      <w:tr w:rsidR="0074777E" w:rsidRPr="00A26A8E" w:rsidTr="0074777E">
        <w:trPr>
          <w:trHeight w:hRule="exact" w:val="720"/>
        </w:trPr>
        <w:tc>
          <w:tcPr>
            <w:tcW w:w="4068" w:type="dxa"/>
            <w:vAlign w:val="center"/>
          </w:tcPr>
          <w:p w:rsidR="0074777E" w:rsidRPr="00A26A8E" w:rsidRDefault="0074777E" w:rsidP="00003522">
            <w:pPr>
              <w:spacing w:before="120" w:after="120"/>
              <w:rPr>
                <w:rFonts w:ascii="Times New Roman" w:hAnsi="Times New Roman" w:cs="Times New Roman"/>
              </w:rPr>
            </w:pPr>
            <w:r w:rsidRPr="00A26A8E">
              <w:rPr>
                <w:rFonts w:ascii="Times New Roman" w:hAnsi="Times New Roman" w:cs="Times New Roman"/>
              </w:rPr>
              <w:t xml:space="preserve">Grey water/black water is not </w:t>
            </w:r>
            <w:r>
              <w:rPr>
                <w:rFonts w:ascii="Times New Roman" w:hAnsi="Times New Roman" w:cs="Times New Roman"/>
              </w:rPr>
              <w:t xml:space="preserve">visibly </w:t>
            </w:r>
            <w:r w:rsidRPr="00A26A8E">
              <w:rPr>
                <w:rFonts w:ascii="Times New Roman" w:hAnsi="Times New Roman" w:cs="Times New Roman"/>
              </w:rPr>
              <w:t>present in the discharge</w:t>
            </w:r>
          </w:p>
        </w:tc>
        <w:tc>
          <w:tcPr>
            <w:tcW w:w="2070" w:type="dxa"/>
            <w:vAlign w:val="center"/>
          </w:tcPr>
          <w:p w:rsidR="0074777E" w:rsidRDefault="0074777E" w:rsidP="00003522">
            <w:pPr>
              <w:jc w:val="center"/>
            </w:pPr>
            <w:r w:rsidRPr="00221040">
              <w:rPr>
                <w:rFonts w:ascii="Times New Roman" w:hAnsi="Times New Roman" w:cs="Times New Roman"/>
                <w:bCs/>
              </w:rPr>
              <w:t xml:space="preserve">True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r w:rsidRPr="00221040">
              <w:rPr>
                <w:rFonts w:ascii="Times New Roman" w:hAnsi="Times New Roman" w:cs="Times New Roman"/>
                <w:bCs/>
              </w:rPr>
              <w:t xml:space="preserve">   False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p>
        </w:tc>
        <w:tc>
          <w:tcPr>
            <w:tcW w:w="3600" w:type="dxa"/>
            <w:vAlign w:val="center"/>
          </w:tcPr>
          <w:p w:rsidR="0074777E" w:rsidRPr="00A26A8E" w:rsidRDefault="0074777E" w:rsidP="00003522">
            <w:pPr>
              <w:spacing w:before="120" w:after="120"/>
              <w:jc w:val="center"/>
              <w:rPr>
                <w:rFonts w:ascii="Times New Roman" w:hAnsi="Times New Roman" w:cs="Times New Roman"/>
              </w:rPr>
            </w:pPr>
          </w:p>
        </w:tc>
      </w:tr>
      <w:tr w:rsidR="0074777E" w:rsidRPr="00A26A8E" w:rsidTr="0074777E">
        <w:trPr>
          <w:trHeight w:hRule="exact" w:val="720"/>
        </w:trPr>
        <w:tc>
          <w:tcPr>
            <w:tcW w:w="4068" w:type="dxa"/>
            <w:vAlign w:val="center"/>
          </w:tcPr>
          <w:p w:rsidR="0074777E" w:rsidRPr="00A26A8E" w:rsidRDefault="0074777E" w:rsidP="00003522">
            <w:pPr>
              <w:spacing w:before="120" w:after="120"/>
              <w:rPr>
                <w:rFonts w:ascii="Times New Roman" w:hAnsi="Times New Roman" w:cs="Times New Roman"/>
              </w:rPr>
            </w:pPr>
            <w:r w:rsidRPr="00A26A8E">
              <w:rPr>
                <w:rFonts w:ascii="Times New Roman" w:hAnsi="Times New Roman" w:cs="Times New Roman"/>
              </w:rPr>
              <w:t xml:space="preserve">Sediment-laden surface water is not </w:t>
            </w:r>
            <w:r>
              <w:rPr>
                <w:rFonts w:ascii="Times New Roman" w:hAnsi="Times New Roman" w:cs="Times New Roman"/>
              </w:rPr>
              <w:t xml:space="preserve">visibly </w:t>
            </w:r>
            <w:r w:rsidRPr="00A26A8E">
              <w:rPr>
                <w:rFonts w:ascii="Times New Roman" w:hAnsi="Times New Roman" w:cs="Times New Roman"/>
              </w:rPr>
              <w:t>present in the discharge</w:t>
            </w:r>
          </w:p>
        </w:tc>
        <w:tc>
          <w:tcPr>
            <w:tcW w:w="2070" w:type="dxa"/>
            <w:vAlign w:val="center"/>
          </w:tcPr>
          <w:p w:rsidR="0074777E" w:rsidRDefault="0074777E" w:rsidP="00003522">
            <w:pPr>
              <w:jc w:val="center"/>
            </w:pPr>
            <w:r w:rsidRPr="00221040">
              <w:rPr>
                <w:rFonts w:ascii="Times New Roman" w:hAnsi="Times New Roman" w:cs="Times New Roman"/>
                <w:bCs/>
              </w:rPr>
              <w:t xml:space="preserve">True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r w:rsidRPr="00221040">
              <w:rPr>
                <w:rFonts w:ascii="Times New Roman" w:hAnsi="Times New Roman" w:cs="Times New Roman"/>
                <w:bCs/>
              </w:rPr>
              <w:t xml:space="preserve">   False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p>
        </w:tc>
        <w:tc>
          <w:tcPr>
            <w:tcW w:w="3600" w:type="dxa"/>
            <w:vAlign w:val="center"/>
          </w:tcPr>
          <w:p w:rsidR="0074777E" w:rsidRPr="00A26A8E" w:rsidRDefault="0074777E" w:rsidP="00003522">
            <w:pPr>
              <w:spacing w:before="120" w:after="120"/>
              <w:jc w:val="center"/>
              <w:rPr>
                <w:rFonts w:ascii="Times New Roman" w:hAnsi="Times New Roman" w:cs="Times New Roman"/>
              </w:rPr>
            </w:pPr>
          </w:p>
        </w:tc>
      </w:tr>
      <w:tr w:rsidR="0074777E" w:rsidRPr="00A26A8E" w:rsidTr="0074777E">
        <w:trPr>
          <w:trHeight w:hRule="exact" w:val="720"/>
        </w:trPr>
        <w:tc>
          <w:tcPr>
            <w:tcW w:w="4068" w:type="dxa"/>
            <w:vAlign w:val="center"/>
          </w:tcPr>
          <w:p w:rsidR="0074777E" w:rsidRPr="00A26A8E" w:rsidRDefault="0074777E" w:rsidP="00003522">
            <w:pPr>
              <w:spacing w:before="120" w:after="120"/>
              <w:rPr>
                <w:rFonts w:ascii="Times New Roman" w:hAnsi="Times New Roman" w:cs="Times New Roman"/>
              </w:rPr>
            </w:pPr>
            <w:r w:rsidRPr="00A26A8E">
              <w:rPr>
                <w:rFonts w:ascii="Times New Roman" w:hAnsi="Times New Roman" w:cs="Times New Roman"/>
              </w:rPr>
              <w:t>Flow from the connection does not exceed approved flow</w:t>
            </w:r>
          </w:p>
        </w:tc>
        <w:tc>
          <w:tcPr>
            <w:tcW w:w="2070" w:type="dxa"/>
            <w:vAlign w:val="center"/>
          </w:tcPr>
          <w:p w:rsidR="0074777E" w:rsidRDefault="0074777E" w:rsidP="00003522">
            <w:pPr>
              <w:jc w:val="center"/>
            </w:pPr>
            <w:r w:rsidRPr="00221040">
              <w:rPr>
                <w:rFonts w:ascii="Times New Roman" w:hAnsi="Times New Roman" w:cs="Times New Roman"/>
                <w:bCs/>
              </w:rPr>
              <w:t xml:space="preserve">True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r w:rsidRPr="00221040">
              <w:rPr>
                <w:rFonts w:ascii="Times New Roman" w:hAnsi="Times New Roman" w:cs="Times New Roman"/>
                <w:bCs/>
              </w:rPr>
              <w:t xml:space="preserve">   False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p>
        </w:tc>
        <w:tc>
          <w:tcPr>
            <w:tcW w:w="3600" w:type="dxa"/>
            <w:vAlign w:val="center"/>
          </w:tcPr>
          <w:p w:rsidR="0074777E" w:rsidRPr="00A26A8E" w:rsidRDefault="0074777E" w:rsidP="00003522">
            <w:pPr>
              <w:spacing w:before="120" w:after="120"/>
              <w:jc w:val="center"/>
              <w:rPr>
                <w:rFonts w:ascii="Times New Roman" w:hAnsi="Times New Roman" w:cs="Times New Roman"/>
              </w:rPr>
            </w:pPr>
          </w:p>
        </w:tc>
      </w:tr>
      <w:tr w:rsidR="0074777E" w:rsidRPr="00A26A8E" w:rsidTr="0074777E">
        <w:trPr>
          <w:trHeight w:hRule="exact" w:val="720"/>
        </w:trPr>
        <w:tc>
          <w:tcPr>
            <w:tcW w:w="4068" w:type="dxa"/>
            <w:vAlign w:val="center"/>
          </w:tcPr>
          <w:p w:rsidR="0074777E" w:rsidRPr="00A26A8E" w:rsidRDefault="0074777E" w:rsidP="00003522">
            <w:pPr>
              <w:spacing w:before="120" w:after="120"/>
              <w:rPr>
                <w:rFonts w:ascii="Times New Roman" w:hAnsi="Times New Roman" w:cs="Times New Roman"/>
              </w:rPr>
            </w:pPr>
            <w:r w:rsidRPr="00A26A8E">
              <w:rPr>
                <w:rFonts w:ascii="Times New Roman" w:hAnsi="Times New Roman" w:cs="Times New Roman"/>
              </w:rPr>
              <w:t>No prohibited fixtures are connected to the municipal system from the property</w:t>
            </w:r>
          </w:p>
        </w:tc>
        <w:tc>
          <w:tcPr>
            <w:tcW w:w="2070" w:type="dxa"/>
            <w:vAlign w:val="center"/>
          </w:tcPr>
          <w:p w:rsidR="0074777E" w:rsidRDefault="0074777E" w:rsidP="00003522">
            <w:pPr>
              <w:jc w:val="center"/>
            </w:pPr>
            <w:r w:rsidRPr="00221040">
              <w:rPr>
                <w:rFonts w:ascii="Times New Roman" w:hAnsi="Times New Roman" w:cs="Times New Roman"/>
                <w:bCs/>
              </w:rPr>
              <w:t xml:space="preserve">True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r w:rsidRPr="00221040">
              <w:rPr>
                <w:rFonts w:ascii="Times New Roman" w:hAnsi="Times New Roman" w:cs="Times New Roman"/>
                <w:bCs/>
              </w:rPr>
              <w:t xml:space="preserve">   False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p>
        </w:tc>
        <w:tc>
          <w:tcPr>
            <w:tcW w:w="3600" w:type="dxa"/>
            <w:vAlign w:val="center"/>
          </w:tcPr>
          <w:p w:rsidR="0074777E" w:rsidRPr="00A26A8E" w:rsidRDefault="0074777E" w:rsidP="00003522">
            <w:pPr>
              <w:spacing w:before="120" w:after="120"/>
              <w:jc w:val="center"/>
              <w:rPr>
                <w:rFonts w:ascii="Times New Roman" w:hAnsi="Times New Roman" w:cs="Times New Roman"/>
              </w:rPr>
            </w:pPr>
          </w:p>
        </w:tc>
      </w:tr>
      <w:tr w:rsidR="0074777E" w:rsidRPr="00A26A8E" w:rsidTr="0074777E">
        <w:trPr>
          <w:trHeight w:hRule="exact" w:val="720"/>
        </w:trPr>
        <w:tc>
          <w:tcPr>
            <w:tcW w:w="4068" w:type="dxa"/>
            <w:vAlign w:val="center"/>
          </w:tcPr>
          <w:p w:rsidR="0074777E" w:rsidRPr="00A26A8E" w:rsidRDefault="0074777E" w:rsidP="00003522">
            <w:pPr>
              <w:spacing w:before="120" w:after="120"/>
              <w:rPr>
                <w:rFonts w:ascii="Times New Roman" w:hAnsi="Times New Roman" w:cs="Times New Roman"/>
              </w:rPr>
            </w:pPr>
            <w:r w:rsidRPr="00A26A8E">
              <w:rPr>
                <w:rFonts w:ascii="Times New Roman" w:hAnsi="Times New Roman" w:cs="Times New Roman"/>
              </w:rPr>
              <w:t xml:space="preserve">The pump </w:t>
            </w:r>
            <w:r>
              <w:rPr>
                <w:rFonts w:ascii="Times New Roman" w:hAnsi="Times New Roman" w:cs="Times New Roman"/>
              </w:rPr>
              <w:t xml:space="preserve">presently </w:t>
            </w:r>
            <w:r w:rsidRPr="00A26A8E">
              <w:rPr>
                <w:rFonts w:ascii="Times New Roman" w:hAnsi="Times New Roman" w:cs="Times New Roman"/>
              </w:rPr>
              <w:t xml:space="preserve">utilized </w:t>
            </w:r>
            <w:r>
              <w:rPr>
                <w:rFonts w:ascii="Times New Roman" w:hAnsi="Times New Roman" w:cs="Times New Roman"/>
              </w:rPr>
              <w:t>is the same as the pump</w:t>
            </w:r>
            <w:r w:rsidRPr="00A26A8E">
              <w:rPr>
                <w:rFonts w:ascii="Times New Roman" w:hAnsi="Times New Roman" w:cs="Times New Roman"/>
              </w:rPr>
              <w:t xml:space="preserve"> approved by the municipality</w:t>
            </w:r>
            <w:r>
              <w:rPr>
                <w:rFonts w:ascii="Times New Roman" w:hAnsi="Times New Roman" w:cs="Times New Roman"/>
              </w:rPr>
              <w:t>.</w:t>
            </w:r>
          </w:p>
        </w:tc>
        <w:tc>
          <w:tcPr>
            <w:tcW w:w="2070" w:type="dxa"/>
            <w:vAlign w:val="center"/>
          </w:tcPr>
          <w:p w:rsidR="0074777E" w:rsidRDefault="0074777E" w:rsidP="00003522">
            <w:pPr>
              <w:jc w:val="center"/>
            </w:pPr>
            <w:r w:rsidRPr="00221040">
              <w:rPr>
                <w:rFonts w:ascii="Times New Roman" w:hAnsi="Times New Roman" w:cs="Times New Roman"/>
                <w:bCs/>
              </w:rPr>
              <w:t xml:space="preserve">True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r w:rsidRPr="00221040">
              <w:rPr>
                <w:rFonts w:ascii="Times New Roman" w:hAnsi="Times New Roman" w:cs="Times New Roman"/>
                <w:bCs/>
              </w:rPr>
              <w:t xml:space="preserve">   False  </w:t>
            </w:r>
            <w:r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221040">
              <w:rPr>
                <w:rFonts w:ascii="Times New Roman" w:hAnsi="Times New Roman" w:cs="Times New Roman"/>
                <w:bCs/>
              </w:rPr>
              <w:fldChar w:fldCharType="end"/>
            </w:r>
          </w:p>
        </w:tc>
        <w:tc>
          <w:tcPr>
            <w:tcW w:w="3600" w:type="dxa"/>
            <w:vAlign w:val="center"/>
          </w:tcPr>
          <w:p w:rsidR="0074777E" w:rsidRPr="00A26A8E" w:rsidRDefault="0074777E" w:rsidP="00003522">
            <w:pPr>
              <w:spacing w:before="120" w:after="120"/>
              <w:jc w:val="center"/>
              <w:rPr>
                <w:rFonts w:ascii="Times New Roman" w:hAnsi="Times New Roman" w:cs="Times New Roman"/>
              </w:rPr>
            </w:pPr>
          </w:p>
        </w:tc>
      </w:tr>
    </w:tbl>
    <w:p w:rsidR="00287333" w:rsidRPr="0074777E" w:rsidRDefault="0074777E" w:rsidP="00FD1DDD">
      <w:pPr>
        <w:spacing w:line="240" w:lineRule="auto"/>
        <w:rPr>
          <w:rFonts w:ascii="Times New Roman" w:hAnsi="Times New Roman" w:cs="Times New Roman"/>
          <w:i/>
        </w:rPr>
      </w:pPr>
      <w:r w:rsidRPr="0074777E">
        <w:rPr>
          <w:rFonts w:ascii="Times New Roman" w:hAnsi="Times New Roman" w:cs="Times New Roman"/>
          <w:i/>
        </w:rPr>
        <w:lastRenderedPageBreak/>
        <w:t>(</w:t>
      </w:r>
      <w:proofErr w:type="gramStart"/>
      <w:r w:rsidRPr="0074777E">
        <w:rPr>
          <w:rFonts w:ascii="Times New Roman" w:hAnsi="Times New Roman" w:cs="Times New Roman"/>
          <w:i/>
        </w:rPr>
        <w:t>continued</w:t>
      </w:r>
      <w:proofErr w:type="gramEnd"/>
      <w:r w:rsidRPr="0074777E">
        <w:rPr>
          <w:rFonts w:ascii="Times New Roman" w:hAnsi="Times New Roman" w:cs="Times New Roman"/>
          <w:i/>
        </w:rPr>
        <w:t>)</w:t>
      </w:r>
    </w:p>
    <w:p w:rsidR="0074777E" w:rsidRDefault="0074777E" w:rsidP="00FD1DDD">
      <w:pPr>
        <w:spacing w:line="240" w:lineRule="auto"/>
        <w:rPr>
          <w:rFonts w:ascii="Times New Roman" w:hAnsi="Times New Roman" w:cs="Times New Roman"/>
        </w:rPr>
      </w:pPr>
    </w:p>
    <w:tbl>
      <w:tblPr>
        <w:tblStyle w:val="TableGrid"/>
        <w:tblW w:w="9738" w:type="dxa"/>
        <w:tblLook w:val="04A0"/>
      </w:tblPr>
      <w:tblGrid>
        <w:gridCol w:w="4068"/>
        <w:gridCol w:w="2070"/>
        <w:gridCol w:w="3600"/>
      </w:tblGrid>
      <w:tr w:rsidR="00AF779C" w:rsidRPr="00A26A8E" w:rsidTr="0074777E">
        <w:tc>
          <w:tcPr>
            <w:tcW w:w="4068" w:type="dxa"/>
            <w:vAlign w:val="center"/>
          </w:tcPr>
          <w:p w:rsidR="00AF779C" w:rsidRPr="00287333" w:rsidRDefault="00AF779C" w:rsidP="00287333">
            <w:pPr>
              <w:spacing w:before="120" w:after="120"/>
              <w:jc w:val="center"/>
              <w:rPr>
                <w:rFonts w:ascii="Times New Roman" w:hAnsi="Times New Roman" w:cs="Times New Roman"/>
                <w:b/>
              </w:rPr>
            </w:pPr>
            <w:r w:rsidRPr="00287333">
              <w:rPr>
                <w:rFonts w:ascii="Times New Roman" w:hAnsi="Times New Roman" w:cs="Times New Roman"/>
                <w:b/>
              </w:rPr>
              <w:t>Condition</w:t>
            </w:r>
          </w:p>
        </w:tc>
        <w:tc>
          <w:tcPr>
            <w:tcW w:w="2070" w:type="dxa"/>
            <w:vAlign w:val="center"/>
          </w:tcPr>
          <w:p w:rsidR="00AF779C" w:rsidRPr="00287333" w:rsidRDefault="00287333" w:rsidP="00287333">
            <w:pPr>
              <w:spacing w:before="120" w:after="120"/>
              <w:jc w:val="center"/>
              <w:rPr>
                <w:rFonts w:ascii="Times New Roman" w:hAnsi="Times New Roman" w:cs="Times New Roman"/>
                <w:b/>
              </w:rPr>
            </w:pPr>
            <w:r>
              <w:rPr>
                <w:rFonts w:ascii="Times New Roman" w:hAnsi="Times New Roman" w:cs="Times New Roman"/>
                <w:b/>
              </w:rPr>
              <w:t>Evaluation</w:t>
            </w:r>
          </w:p>
        </w:tc>
        <w:tc>
          <w:tcPr>
            <w:tcW w:w="3600" w:type="dxa"/>
            <w:vAlign w:val="center"/>
          </w:tcPr>
          <w:p w:rsidR="00AF779C" w:rsidRPr="00287333" w:rsidRDefault="00AF779C" w:rsidP="00287333">
            <w:pPr>
              <w:spacing w:before="120" w:after="120"/>
              <w:jc w:val="center"/>
              <w:rPr>
                <w:rFonts w:ascii="Times New Roman" w:hAnsi="Times New Roman" w:cs="Times New Roman"/>
                <w:b/>
              </w:rPr>
            </w:pPr>
            <w:r w:rsidRPr="00287333">
              <w:rPr>
                <w:rFonts w:ascii="Times New Roman" w:hAnsi="Times New Roman" w:cs="Times New Roman"/>
                <w:b/>
              </w:rPr>
              <w:t>Comment</w:t>
            </w:r>
          </w:p>
        </w:tc>
      </w:tr>
      <w:tr w:rsidR="00287333" w:rsidRPr="00A26A8E" w:rsidTr="0074777E">
        <w:tc>
          <w:tcPr>
            <w:tcW w:w="4068" w:type="dxa"/>
            <w:vAlign w:val="center"/>
          </w:tcPr>
          <w:p w:rsidR="00287333" w:rsidRPr="00A26A8E" w:rsidRDefault="00287333" w:rsidP="00287333">
            <w:pPr>
              <w:spacing w:before="120" w:after="120"/>
              <w:rPr>
                <w:rFonts w:ascii="Times New Roman" w:hAnsi="Times New Roman" w:cs="Times New Roman"/>
              </w:rPr>
            </w:pPr>
            <w:r w:rsidRPr="00A26A8E">
              <w:rPr>
                <w:rFonts w:ascii="Times New Roman" w:hAnsi="Times New Roman" w:cs="Times New Roman"/>
              </w:rPr>
              <w:t xml:space="preserve">The pump </w:t>
            </w:r>
            <w:r>
              <w:rPr>
                <w:rFonts w:ascii="Times New Roman" w:hAnsi="Times New Roman" w:cs="Times New Roman"/>
              </w:rPr>
              <w:t xml:space="preserve">presently </w:t>
            </w:r>
            <w:r w:rsidRPr="00A26A8E">
              <w:rPr>
                <w:rFonts w:ascii="Times New Roman" w:hAnsi="Times New Roman" w:cs="Times New Roman"/>
              </w:rPr>
              <w:t xml:space="preserve">utilized </w:t>
            </w:r>
            <w:r>
              <w:rPr>
                <w:rFonts w:ascii="Times New Roman" w:hAnsi="Times New Roman" w:cs="Times New Roman"/>
              </w:rPr>
              <w:t>is the same as the pump</w:t>
            </w:r>
            <w:r w:rsidRPr="00A26A8E">
              <w:rPr>
                <w:rFonts w:ascii="Times New Roman" w:hAnsi="Times New Roman" w:cs="Times New Roman"/>
              </w:rPr>
              <w:t xml:space="preserve"> approved by the municipality</w:t>
            </w:r>
            <w:r w:rsidR="00FD1DDD">
              <w:rPr>
                <w:rFonts w:ascii="Times New Roman" w:hAnsi="Times New Roman" w:cs="Times New Roman"/>
              </w:rPr>
              <w:t>.</w:t>
            </w:r>
          </w:p>
        </w:tc>
        <w:tc>
          <w:tcPr>
            <w:tcW w:w="2070" w:type="dxa"/>
            <w:vAlign w:val="center"/>
          </w:tcPr>
          <w:p w:rsidR="00287333" w:rsidRDefault="00287333" w:rsidP="00287333">
            <w:pPr>
              <w:jc w:val="center"/>
            </w:pPr>
            <w:r w:rsidRPr="00221040">
              <w:rPr>
                <w:rFonts w:ascii="Times New Roman" w:hAnsi="Times New Roman" w:cs="Times New Roman"/>
                <w:bCs/>
              </w:rPr>
              <w:t xml:space="preserve">True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p>
        </w:tc>
        <w:tc>
          <w:tcPr>
            <w:tcW w:w="3600" w:type="dxa"/>
            <w:vAlign w:val="center"/>
          </w:tcPr>
          <w:p w:rsidR="00287333" w:rsidRPr="00A26A8E" w:rsidRDefault="00287333" w:rsidP="00287333">
            <w:pPr>
              <w:spacing w:before="120" w:after="120"/>
              <w:jc w:val="center"/>
              <w:rPr>
                <w:rFonts w:ascii="Times New Roman" w:hAnsi="Times New Roman" w:cs="Times New Roman"/>
              </w:rPr>
            </w:pPr>
          </w:p>
        </w:tc>
      </w:tr>
      <w:tr w:rsidR="00287333" w:rsidRPr="00A26A8E" w:rsidTr="0074777E">
        <w:tc>
          <w:tcPr>
            <w:tcW w:w="4068" w:type="dxa"/>
            <w:vAlign w:val="center"/>
          </w:tcPr>
          <w:p w:rsidR="00287333" w:rsidRPr="00A26A8E" w:rsidRDefault="00287333" w:rsidP="00287333">
            <w:pPr>
              <w:spacing w:before="120" w:after="120"/>
              <w:rPr>
                <w:rFonts w:ascii="Times New Roman" w:hAnsi="Times New Roman" w:cs="Times New Roman"/>
              </w:rPr>
            </w:pPr>
            <w:r w:rsidRPr="00A26A8E">
              <w:rPr>
                <w:rFonts w:ascii="Times New Roman" w:hAnsi="Times New Roman" w:cs="Times New Roman"/>
              </w:rPr>
              <w:t xml:space="preserve">Backflow preventer, cleanout, and shutoff device </w:t>
            </w:r>
            <w:r>
              <w:rPr>
                <w:rFonts w:ascii="Times New Roman" w:hAnsi="Times New Roman" w:cs="Times New Roman"/>
              </w:rPr>
              <w:t>remain</w:t>
            </w:r>
            <w:r w:rsidRPr="00A26A8E">
              <w:rPr>
                <w:rFonts w:ascii="Times New Roman" w:hAnsi="Times New Roman" w:cs="Times New Roman"/>
              </w:rPr>
              <w:t xml:space="preserve"> operational and easily accessible to municipality</w:t>
            </w:r>
          </w:p>
        </w:tc>
        <w:tc>
          <w:tcPr>
            <w:tcW w:w="2070" w:type="dxa"/>
            <w:vAlign w:val="center"/>
          </w:tcPr>
          <w:p w:rsidR="00287333" w:rsidRDefault="00287333" w:rsidP="00287333">
            <w:pPr>
              <w:jc w:val="center"/>
            </w:pPr>
            <w:r w:rsidRPr="00221040">
              <w:rPr>
                <w:rFonts w:ascii="Times New Roman" w:hAnsi="Times New Roman" w:cs="Times New Roman"/>
                <w:bCs/>
              </w:rPr>
              <w:t xml:space="preserve">True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DA3E33"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DA3E33">
              <w:rPr>
                <w:rFonts w:ascii="Times New Roman" w:hAnsi="Times New Roman" w:cs="Times New Roman"/>
                <w:bCs/>
              </w:rPr>
            </w:r>
            <w:r w:rsidR="00DA3E33">
              <w:rPr>
                <w:rFonts w:ascii="Times New Roman" w:hAnsi="Times New Roman" w:cs="Times New Roman"/>
                <w:bCs/>
              </w:rPr>
              <w:fldChar w:fldCharType="separate"/>
            </w:r>
            <w:r w:rsidR="00DA3E33" w:rsidRPr="00221040">
              <w:rPr>
                <w:rFonts w:ascii="Times New Roman" w:hAnsi="Times New Roman" w:cs="Times New Roman"/>
                <w:bCs/>
              </w:rPr>
              <w:fldChar w:fldCharType="end"/>
            </w:r>
          </w:p>
        </w:tc>
        <w:tc>
          <w:tcPr>
            <w:tcW w:w="3600" w:type="dxa"/>
            <w:vAlign w:val="center"/>
          </w:tcPr>
          <w:p w:rsidR="00287333" w:rsidRPr="00A26A8E" w:rsidRDefault="00287333" w:rsidP="00287333">
            <w:pPr>
              <w:spacing w:before="120" w:after="120"/>
              <w:jc w:val="center"/>
              <w:rPr>
                <w:rFonts w:ascii="Times New Roman" w:hAnsi="Times New Roman" w:cs="Times New Roman"/>
              </w:rPr>
            </w:pPr>
          </w:p>
        </w:tc>
      </w:tr>
      <w:tr w:rsidR="00FD1DDD" w:rsidRPr="00A26A8E" w:rsidTr="0074777E">
        <w:trPr>
          <w:trHeight w:val="548"/>
        </w:trPr>
        <w:tc>
          <w:tcPr>
            <w:tcW w:w="9738" w:type="dxa"/>
            <w:gridSpan w:val="3"/>
          </w:tcPr>
          <w:p w:rsidR="00FD1DDD" w:rsidRPr="00A26A8E" w:rsidRDefault="00FD1DDD" w:rsidP="00FD1DDD">
            <w:pPr>
              <w:spacing w:before="120" w:after="120"/>
              <w:rPr>
                <w:rFonts w:ascii="Times New Roman" w:hAnsi="Times New Roman" w:cs="Times New Roman"/>
              </w:rPr>
            </w:pPr>
            <w:r>
              <w:rPr>
                <w:rFonts w:ascii="Times New Roman" w:hAnsi="Times New Roman" w:cs="Times New Roman"/>
              </w:rPr>
              <w:t>Other:</w:t>
            </w:r>
          </w:p>
        </w:tc>
      </w:tr>
    </w:tbl>
    <w:p w:rsidR="00287333" w:rsidRPr="0074777E" w:rsidRDefault="00287333">
      <w:pPr>
        <w:rPr>
          <w:rFonts w:ascii="Times New Roman" w:hAnsi="Times New Roman" w:cs="Times New Roman"/>
          <w:sz w:val="16"/>
          <w:szCs w:val="16"/>
          <w:u w:val="single"/>
        </w:rPr>
      </w:pPr>
    </w:p>
    <w:p w:rsidR="00901B45" w:rsidRPr="00FD1DDD" w:rsidRDefault="00FD1DDD" w:rsidP="00FD1DDD">
      <w:pPr>
        <w:spacing w:line="240" w:lineRule="auto"/>
        <w:rPr>
          <w:rFonts w:ascii="Times New Roman" w:hAnsi="Times New Roman" w:cs="Times New Roman"/>
          <w:b/>
        </w:rPr>
      </w:pPr>
      <w:r>
        <w:rPr>
          <w:rFonts w:ascii="Times New Roman" w:hAnsi="Times New Roman" w:cs="Times New Roman"/>
          <w:b/>
        </w:rPr>
        <w:t>Review of Compliance with Sump Pump Policy</w:t>
      </w:r>
    </w:p>
    <w:p w:rsidR="00901B45" w:rsidRPr="0074777E" w:rsidRDefault="00901B45" w:rsidP="00FD1DDD">
      <w:pPr>
        <w:spacing w:line="240" w:lineRule="auto"/>
        <w:rPr>
          <w:rFonts w:ascii="Times New Roman" w:hAnsi="Times New Roman" w:cs="Times New Roman"/>
        </w:rPr>
      </w:pPr>
    </w:p>
    <w:p w:rsidR="00DF14A1" w:rsidRPr="00A26A8E" w:rsidRDefault="00901B45" w:rsidP="00FD1DDD">
      <w:pPr>
        <w:jc w:val="both"/>
        <w:rPr>
          <w:rFonts w:ascii="Times New Roman" w:hAnsi="Times New Roman" w:cs="Times New Roman"/>
        </w:rPr>
      </w:pPr>
      <w:r w:rsidRPr="00A26A8E">
        <w:rPr>
          <w:rFonts w:ascii="Times New Roman" w:hAnsi="Times New Roman" w:cs="Times New Roman"/>
        </w:rPr>
        <w:t>If any of the following conditions is applicable, as recorded during the inspection, the municipality shall have the right to revoke approval of the sump pump</w:t>
      </w:r>
      <w:r w:rsidR="00317149" w:rsidRPr="00A26A8E">
        <w:rPr>
          <w:rFonts w:ascii="Times New Roman" w:hAnsi="Times New Roman" w:cs="Times New Roman"/>
        </w:rPr>
        <w:t>, including grandfathered sump pumps</w:t>
      </w:r>
      <w:r w:rsidRPr="00A26A8E">
        <w:rPr>
          <w:rFonts w:ascii="Times New Roman" w:hAnsi="Times New Roman" w:cs="Times New Roman"/>
        </w:rPr>
        <w:t>.</w:t>
      </w:r>
    </w:p>
    <w:p w:rsidR="00DF14A1" w:rsidRPr="0074777E" w:rsidRDefault="00DF14A1">
      <w:pPr>
        <w:rPr>
          <w:rFonts w:ascii="Times New Roman" w:hAnsi="Times New Roman" w:cs="Times New Roman"/>
        </w:rPr>
      </w:pPr>
    </w:p>
    <w:tbl>
      <w:tblPr>
        <w:tblStyle w:val="TableGrid"/>
        <w:tblW w:w="0" w:type="auto"/>
        <w:tblLook w:val="04A0"/>
      </w:tblPr>
      <w:tblGrid>
        <w:gridCol w:w="738"/>
        <w:gridCol w:w="8820"/>
      </w:tblGrid>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There is inadequate capacity of the drainage system to manage flow from the connection.</w:t>
            </w:r>
          </w:p>
        </w:tc>
      </w:tr>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Private drainage includes flow from industrial users or sources.</w:t>
            </w:r>
          </w:p>
        </w:tc>
      </w:tr>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Private drainage includes flow from multiple users, systems, or sources.</w:t>
            </w:r>
          </w:p>
        </w:tc>
      </w:tr>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The connection is located within 100 linear feet of a subsurface wastewater disposal system, such as a septic system.</w:t>
            </w:r>
          </w:p>
        </w:tc>
      </w:tr>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The stormwater outfall managing the property flow discharges to a water body identified as impaired in the most current of the Integrated List f Waters (303(d) list) or is subject to stringent local controls.</w:t>
            </w:r>
          </w:p>
        </w:tc>
      </w:tr>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The connection is located within a public drinking water Zone I.</w:t>
            </w:r>
          </w:p>
        </w:tc>
      </w:tr>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The connection is located in a public drinking water supply Zone II, and the water department or district has not approved of the connection in writing.</w:t>
            </w:r>
          </w:p>
        </w:tc>
      </w:tr>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 xml:space="preserve">Flow conveyed to the discharge creates a safety hazard such as </w:t>
            </w:r>
            <w:proofErr w:type="spellStart"/>
            <w:r w:rsidRPr="00A26A8E">
              <w:rPr>
                <w:rFonts w:ascii="Times New Roman" w:hAnsi="Times New Roman" w:cs="Times New Roman"/>
              </w:rPr>
              <w:t>ponding</w:t>
            </w:r>
            <w:proofErr w:type="spellEnd"/>
            <w:r w:rsidRPr="00A26A8E">
              <w:rPr>
                <w:rFonts w:ascii="Times New Roman" w:hAnsi="Times New Roman" w:cs="Times New Roman"/>
              </w:rPr>
              <w:t xml:space="preserve"> or freezing to vehicular, pedestrian, bicycle, or other transportation, or creates erosion or the potential for erosion.</w:t>
            </w:r>
          </w:p>
        </w:tc>
      </w:tr>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The connection jeopardizes public health, safety, or natural resources.</w:t>
            </w:r>
          </w:p>
        </w:tc>
      </w:tr>
      <w:tr w:rsidR="00DF14A1" w:rsidRPr="00A26A8E" w:rsidTr="004D518E">
        <w:tc>
          <w:tcPr>
            <w:tcW w:w="738" w:type="dxa"/>
            <w:vAlign w:val="center"/>
          </w:tcPr>
          <w:p w:rsidR="00DF14A1" w:rsidRPr="00A26A8E" w:rsidRDefault="00DA3E33"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The connection fails to meet the terms and conditions of the Agreement.</w:t>
            </w:r>
          </w:p>
        </w:tc>
      </w:tr>
    </w:tbl>
    <w:p w:rsidR="00CE5700" w:rsidRPr="0074777E" w:rsidRDefault="00CE5700" w:rsidP="00DE5B41">
      <w:pPr>
        <w:rPr>
          <w:rFonts w:ascii="Times New Roman" w:hAnsi="Times New Roman" w:cs="Times New Roman"/>
        </w:rPr>
      </w:pPr>
    </w:p>
    <w:p w:rsidR="00287333" w:rsidRDefault="00287333" w:rsidP="00FD1DDD">
      <w:pPr>
        <w:spacing w:line="240" w:lineRule="auto"/>
        <w:rPr>
          <w:rFonts w:ascii="Times New Roman" w:hAnsi="Times New Roman" w:cs="Times New Roman"/>
          <w:b/>
        </w:rPr>
      </w:pPr>
      <w:r>
        <w:rPr>
          <w:rFonts w:ascii="Times New Roman" w:hAnsi="Times New Roman" w:cs="Times New Roman"/>
          <w:b/>
        </w:rPr>
        <w:t>Non-Compliance Actions</w:t>
      </w:r>
    </w:p>
    <w:p w:rsidR="0074777E" w:rsidRPr="00287333" w:rsidRDefault="0074777E" w:rsidP="00FD1DDD">
      <w:pPr>
        <w:spacing w:line="240" w:lineRule="auto"/>
        <w:rPr>
          <w:rFonts w:ascii="Times New Roman" w:hAnsi="Times New Roman" w:cs="Times New Roman"/>
          <w:b/>
        </w:rPr>
      </w:pPr>
    </w:p>
    <w:p w:rsidR="00287333" w:rsidRPr="00A26A8E" w:rsidRDefault="00287333" w:rsidP="0074777E">
      <w:pPr>
        <w:jc w:val="both"/>
        <w:rPr>
          <w:rFonts w:ascii="Times New Roman" w:hAnsi="Times New Roman" w:cs="Times New Roman"/>
        </w:rPr>
      </w:pPr>
      <w:r w:rsidRPr="00A26A8E">
        <w:rPr>
          <w:rFonts w:ascii="Times New Roman" w:hAnsi="Times New Roman" w:cs="Times New Roman"/>
        </w:rPr>
        <w:t xml:space="preserve">The municipality shall provide the </w:t>
      </w:r>
      <w:r>
        <w:rPr>
          <w:rFonts w:ascii="Times New Roman" w:hAnsi="Times New Roman" w:cs="Times New Roman"/>
        </w:rPr>
        <w:t>property</w:t>
      </w:r>
      <w:r w:rsidRPr="00A26A8E">
        <w:rPr>
          <w:rFonts w:ascii="Times New Roman" w:hAnsi="Times New Roman" w:cs="Times New Roman"/>
        </w:rPr>
        <w:t xml:space="preserve"> owner with written notice of the violation</w:t>
      </w:r>
      <w:r>
        <w:rPr>
          <w:rFonts w:ascii="Times New Roman" w:hAnsi="Times New Roman" w:cs="Times New Roman"/>
        </w:rPr>
        <w:t xml:space="preserve"> with corrective action to be taken.  T</w:t>
      </w:r>
      <w:r w:rsidRPr="00A26A8E">
        <w:rPr>
          <w:rFonts w:ascii="Times New Roman" w:hAnsi="Times New Roman" w:cs="Times New Roman"/>
        </w:rPr>
        <w:t xml:space="preserve">he </w:t>
      </w:r>
      <w:r>
        <w:rPr>
          <w:rFonts w:ascii="Times New Roman" w:hAnsi="Times New Roman" w:cs="Times New Roman"/>
        </w:rPr>
        <w:t xml:space="preserve">property </w:t>
      </w:r>
      <w:r w:rsidRPr="00A26A8E">
        <w:rPr>
          <w:rFonts w:ascii="Times New Roman" w:hAnsi="Times New Roman" w:cs="Times New Roman"/>
        </w:rPr>
        <w:t>owner shall have thirty days from the receipt of the notice to commence curative action of the violation.</w:t>
      </w:r>
    </w:p>
    <w:sectPr w:rsidR="00287333" w:rsidRPr="00A26A8E" w:rsidSect="008C02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B0" w:rsidRDefault="002C5DB0" w:rsidP="003D59C8">
      <w:pPr>
        <w:spacing w:line="240" w:lineRule="auto"/>
      </w:pPr>
      <w:r>
        <w:separator/>
      </w:r>
    </w:p>
  </w:endnote>
  <w:endnote w:type="continuationSeparator" w:id="0">
    <w:p w:rsidR="002C5DB0" w:rsidRDefault="002C5DB0" w:rsidP="003D59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B7" w:rsidRDefault="00AA77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50395305"/>
      <w:docPartObj>
        <w:docPartGallery w:val="Page Numbers (Top of Page)"/>
        <w:docPartUnique/>
      </w:docPartObj>
    </w:sdtPr>
    <w:sdtContent>
      <w:p w:rsidR="00287333" w:rsidRPr="00B559FF" w:rsidRDefault="00287333" w:rsidP="00B559FF">
        <w:pPr>
          <w:jc w:val="center"/>
          <w:rPr>
            <w:sz w:val="18"/>
            <w:szCs w:val="18"/>
          </w:rPr>
        </w:pPr>
        <w:r w:rsidRPr="00B559FF">
          <w:rPr>
            <w:sz w:val="18"/>
            <w:szCs w:val="18"/>
          </w:rPr>
          <w:t xml:space="preserve">Page </w:t>
        </w:r>
        <w:r w:rsidR="00DA3E33" w:rsidRPr="00B559FF">
          <w:rPr>
            <w:sz w:val="18"/>
            <w:szCs w:val="18"/>
          </w:rPr>
          <w:fldChar w:fldCharType="begin"/>
        </w:r>
        <w:r w:rsidRPr="00B559FF">
          <w:rPr>
            <w:sz w:val="18"/>
            <w:szCs w:val="18"/>
          </w:rPr>
          <w:instrText xml:space="preserve"> PAGE </w:instrText>
        </w:r>
        <w:r w:rsidR="00DA3E33" w:rsidRPr="00B559FF">
          <w:rPr>
            <w:sz w:val="18"/>
            <w:szCs w:val="18"/>
          </w:rPr>
          <w:fldChar w:fldCharType="separate"/>
        </w:r>
        <w:r w:rsidR="0074777E">
          <w:rPr>
            <w:noProof/>
            <w:sz w:val="18"/>
            <w:szCs w:val="18"/>
          </w:rPr>
          <w:t>1</w:t>
        </w:r>
        <w:r w:rsidR="00DA3E33" w:rsidRPr="00B559FF">
          <w:rPr>
            <w:sz w:val="18"/>
            <w:szCs w:val="18"/>
          </w:rPr>
          <w:fldChar w:fldCharType="end"/>
        </w:r>
        <w:r w:rsidRPr="00B559FF">
          <w:rPr>
            <w:sz w:val="18"/>
            <w:szCs w:val="18"/>
          </w:rPr>
          <w:t xml:space="preserve"> of </w:t>
        </w:r>
        <w:r w:rsidR="00DA3E33" w:rsidRPr="00B559FF">
          <w:rPr>
            <w:sz w:val="18"/>
            <w:szCs w:val="18"/>
          </w:rPr>
          <w:fldChar w:fldCharType="begin"/>
        </w:r>
        <w:r w:rsidRPr="00B559FF">
          <w:rPr>
            <w:sz w:val="18"/>
            <w:szCs w:val="18"/>
          </w:rPr>
          <w:instrText xml:space="preserve"> NUMPAGES  </w:instrText>
        </w:r>
        <w:r w:rsidR="00DA3E33" w:rsidRPr="00B559FF">
          <w:rPr>
            <w:sz w:val="18"/>
            <w:szCs w:val="18"/>
          </w:rPr>
          <w:fldChar w:fldCharType="separate"/>
        </w:r>
        <w:r w:rsidR="0074777E">
          <w:rPr>
            <w:noProof/>
            <w:sz w:val="18"/>
            <w:szCs w:val="18"/>
          </w:rPr>
          <w:t>3</w:t>
        </w:r>
        <w:r w:rsidR="00DA3E33" w:rsidRPr="00B559FF">
          <w:rPr>
            <w:sz w:val="18"/>
            <w:szCs w:val="18"/>
          </w:rPr>
          <w:fldChar w:fldCharType="end"/>
        </w:r>
      </w:p>
    </w:sdtContent>
  </w:sdt>
  <w:p w:rsidR="00287333" w:rsidRDefault="00287333" w:rsidP="00B559F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B7" w:rsidRDefault="00AA7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B0" w:rsidRDefault="002C5DB0" w:rsidP="003D59C8">
      <w:pPr>
        <w:spacing w:line="240" w:lineRule="auto"/>
      </w:pPr>
      <w:r>
        <w:separator/>
      </w:r>
    </w:p>
  </w:footnote>
  <w:footnote w:type="continuationSeparator" w:id="0">
    <w:p w:rsidR="002C5DB0" w:rsidRDefault="002C5DB0" w:rsidP="003D59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B7" w:rsidRDefault="00AA7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FC" w:rsidRPr="00AA77B7" w:rsidRDefault="00DA3E33" w:rsidP="00B23FFC">
    <w:pPr>
      <w:pStyle w:val="Header"/>
      <w:rPr>
        <w:rFonts w:cstheme="minorHAnsi"/>
        <w:i/>
      </w:rPr>
    </w:pPr>
    <w:sdt>
      <w:sdtPr>
        <w:rPr>
          <w:rFonts w:cstheme="minorHAnsi"/>
          <w:i/>
        </w:rPr>
        <w:id w:val="15520423"/>
        <w:docPartObj>
          <w:docPartGallery w:val="Watermarks"/>
          <w:docPartUnique/>
        </w:docPartObj>
      </w:sdtPr>
      <w:sdtContent>
        <w:r>
          <w:rPr>
            <w:rFonts w:cstheme="minorHAnsi"/>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3FFC" w:rsidRPr="00AA77B7">
      <w:rPr>
        <w:rFonts w:cstheme="minorHAnsi"/>
        <w:i/>
      </w:rPr>
      <w:t xml:space="preserve">Sump Pump </w:t>
    </w:r>
    <w:r w:rsidR="00B23FFC" w:rsidRPr="00AA77B7">
      <w:rPr>
        <w:rFonts w:cstheme="minorHAnsi"/>
        <w:i/>
      </w:rPr>
      <w:tab/>
    </w:r>
    <w:r w:rsidR="00B23FFC" w:rsidRPr="00AA77B7">
      <w:rPr>
        <w:rFonts w:cstheme="minorHAnsi"/>
        <w:i/>
      </w:rPr>
      <w:tab/>
      <w:t>Central Massachusetts Regional</w:t>
    </w:r>
  </w:p>
  <w:p w:rsidR="00B23FFC" w:rsidRPr="00AA77B7" w:rsidRDefault="00B23FFC" w:rsidP="00B23FFC">
    <w:pPr>
      <w:pStyle w:val="Header"/>
      <w:rPr>
        <w:rFonts w:cstheme="minorHAnsi"/>
        <w:i/>
      </w:rPr>
    </w:pPr>
    <w:r w:rsidRPr="00AA77B7">
      <w:rPr>
        <w:rFonts w:cstheme="minorHAnsi"/>
        <w:i/>
      </w:rPr>
      <w:t>Inspection Report</w:t>
    </w:r>
    <w:r w:rsidRPr="00AA77B7">
      <w:rPr>
        <w:rFonts w:cstheme="minorHAnsi"/>
        <w:i/>
      </w:rPr>
      <w:tab/>
    </w:r>
    <w:r w:rsidRPr="00AA77B7">
      <w:rPr>
        <w:rFonts w:cstheme="minorHAnsi"/>
        <w:i/>
      </w:rPr>
      <w:tab/>
      <w:t>Stormwater Collaborative</w:t>
    </w:r>
    <w:r w:rsidRPr="00AA77B7">
      <w:rPr>
        <w:rFonts w:cstheme="minorHAnsi"/>
        <w:i/>
      </w:rPr>
      <w:tab/>
    </w:r>
  </w:p>
  <w:p w:rsidR="00287333" w:rsidRPr="00287333" w:rsidRDefault="00287333" w:rsidP="002873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B7" w:rsidRDefault="00AA7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0C4"/>
    <w:multiLevelType w:val="hybridMultilevel"/>
    <w:tmpl w:val="B2A60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80EFD"/>
    <w:multiLevelType w:val="hybridMultilevel"/>
    <w:tmpl w:val="7E3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02770"/>
    <w:multiLevelType w:val="hybridMultilevel"/>
    <w:tmpl w:val="4BB49A1E"/>
    <w:lvl w:ilvl="0" w:tplc="0409000F">
      <w:start w:val="1"/>
      <w:numFmt w:val="decimal"/>
      <w:lvlText w:val="%1."/>
      <w:lvlJc w:val="left"/>
      <w:pPr>
        <w:ind w:left="720" w:hanging="360"/>
      </w:pPr>
    </w:lvl>
    <w:lvl w:ilvl="1" w:tplc="0BB815C0">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7B42C0"/>
    <w:rsid w:val="00015E41"/>
    <w:rsid w:val="00017B56"/>
    <w:rsid w:val="000506A0"/>
    <w:rsid w:val="000C6125"/>
    <w:rsid w:val="000F2FD8"/>
    <w:rsid w:val="00103857"/>
    <w:rsid w:val="0010659C"/>
    <w:rsid w:val="001100E1"/>
    <w:rsid w:val="001258B3"/>
    <w:rsid w:val="0015201C"/>
    <w:rsid w:val="001667F7"/>
    <w:rsid w:val="001807D4"/>
    <w:rsid w:val="001A7098"/>
    <w:rsid w:val="001B190F"/>
    <w:rsid w:val="001B2DD8"/>
    <w:rsid w:val="001E2EB0"/>
    <w:rsid w:val="00206323"/>
    <w:rsid w:val="00220962"/>
    <w:rsid w:val="00236B83"/>
    <w:rsid w:val="002762DD"/>
    <w:rsid w:val="00287333"/>
    <w:rsid w:val="0029231C"/>
    <w:rsid w:val="002A4C90"/>
    <w:rsid w:val="002B327E"/>
    <w:rsid w:val="002B597B"/>
    <w:rsid w:val="002C591A"/>
    <w:rsid w:val="002C5DB0"/>
    <w:rsid w:val="00302B56"/>
    <w:rsid w:val="00317149"/>
    <w:rsid w:val="00326390"/>
    <w:rsid w:val="00351C78"/>
    <w:rsid w:val="00394A9D"/>
    <w:rsid w:val="003D3221"/>
    <w:rsid w:val="003D59C8"/>
    <w:rsid w:val="003F1484"/>
    <w:rsid w:val="003F6CE2"/>
    <w:rsid w:val="003F71A9"/>
    <w:rsid w:val="004123ED"/>
    <w:rsid w:val="0044257F"/>
    <w:rsid w:val="004452FF"/>
    <w:rsid w:val="00467C61"/>
    <w:rsid w:val="00484A73"/>
    <w:rsid w:val="0049050E"/>
    <w:rsid w:val="00492637"/>
    <w:rsid w:val="004A3E4F"/>
    <w:rsid w:val="004B52DB"/>
    <w:rsid w:val="004D518E"/>
    <w:rsid w:val="004E3AE9"/>
    <w:rsid w:val="004E5B8D"/>
    <w:rsid w:val="0050259F"/>
    <w:rsid w:val="005123B7"/>
    <w:rsid w:val="00536D3A"/>
    <w:rsid w:val="005967C9"/>
    <w:rsid w:val="00596E24"/>
    <w:rsid w:val="005A4A8F"/>
    <w:rsid w:val="005B1B8B"/>
    <w:rsid w:val="005C77C4"/>
    <w:rsid w:val="00607635"/>
    <w:rsid w:val="00612A4E"/>
    <w:rsid w:val="00621C1E"/>
    <w:rsid w:val="006442FF"/>
    <w:rsid w:val="00677E8A"/>
    <w:rsid w:val="0069208C"/>
    <w:rsid w:val="006C20F0"/>
    <w:rsid w:val="00701DD3"/>
    <w:rsid w:val="0073147B"/>
    <w:rsid w:val="0074777E"/>
    <w:rsid w:val="00780671"/>
    <w:rsid w:val="00783ECA"/>
    <w:rsid w:val="007958B2"/>
    <w:rsid w:val="007B42C0"/>
    <w:rsid w:val="007B463C"/>
    <w:rsid w:val="007F0D33"/>
    <w:rsid w:val="007F6976"/>
    <w:rsid w:val="008067BB"/>
    <w:rsid w:val="008205CC"/>
    <w:rsid w:val="00823E5D"/>
    <w:rsid w:val="00842640"/>
    <w:rsid w:val="00855301"/>
    <w:rsid w:val="00871F27"/>
    <w:rsid w:val="00880D39"/>
    <w:rsid w:val="008836A0"/>
    <w:rsid w:val="008B2188"/>
    <w:rsid w:val="008C020F"/>
    <w:rsid w:val="008C2A6F"/>
    <w:rsid w:val="008C7D5D"/>
    <w:rsid w:val="008D4AEB"/>
    <w:rsid w:val="008F192F"/>
    <w:rsid w:val="008F1BF1"/>
    <w:rsid w:val="008F42AA"/>
    <w:rsid w:val="00901B45"/>
    <w:rsid w:val="00931BF2"/>
    <w:rsid w:val="009369F4"/>
    <w:rsid w:val="00937E0D"/>
    <w:rsid w:val="00954683"/>
    <w:rsid w:val="00976224"/>
    <w:rsid w:val="009A4186"/>
    <w:rsid w:val="009B0BE0"/>
    <w:rsid w:val="009D1E24"/>
    <w:rsid w:val="00A26A8E"/>
    <w:rsid w:val="00A43382"/>
    <w:rsid w:val="00A6032D"/>
    <w:rsid w:val="00A743B1"/>
    <w:rsid w:val="00AA4A2C"/>
    <w:rsid w:val="00AA77B7"/>
    <w:rsid w:val="00AD218A"/>
    <w:rsid w:val="00AE7E84"/>
    <w:rsid w:val="00AF60FD"/>
    <w:rsid w:val="00AF6498"/>
    <w:rsid w:val="00AF779C"/>
    <w:rsid w:val="00B00D78"/>
    <w:rsid w:val="00B045E8"/>
    <w:rsid w:val="00B05ED3"/>
    <w:rsid w:val="00B210B6"/>
    <w:rsid w:val="00B23FFC"/>
    <w:rsid w:val="00B246C4"/>
    <w:rsid w:val="00B36D40"/>
    <w:rsid w:val="00B4132E"/>
    <w:rsid w:val="00B5429D"/>
    <w:rsid w:val="00B559FF"/>
    <w:rsid w:val="00B64674"/>
    <w:rsid w:val="00B659BD"/>
    <w:rsid w:val="00B85466"/>
    <w:rsid w:val="00B86C17"/>
    <w:rsid w:val="00B91E0C"/>
    <w:rsid w:val="00BA5506"/>
    <w:rsid w:val="00BC5025"/>
    <w:rsid w:val="00BD7FBD"/>
    <w:rsid w:val="00C0739F"/>
    <w:rsid w:val="00C4106B"/>
    <w:rsid w:val="00C4107C"/>
    <w:rsid w:val="00C426B9"/>
    <w:rsid w:val="00C60372"/>
    <w:rsid w:val="00C64BB4"/>
    <w:rsid w:val="00C664F0"/>
    <w:rsid w:val="00C853DD"/>
    <w:rsid w:val="00CB7815"/>
    <w:rsid w:val="00CC3197"/>
    <w:rsid w:val="00CD618D"/>
    <w:rsid w:val="00CE252E"/>
    <w:rsid w:val="00CE5700"/>
    <w:rsid w:val="00D213AB"/>
    <w:rsid w:val="00D3355F"/>
    <w:rsid w:val="00D34872"/>
    <w:rsid w:val="00D43DB1"/>
    <w:rsid w:val="00D7313D"/>
    <w:rsid w:val="00DA3E33"/>
    <w:rsid w:val="00DA6628"/>
    <w:rsid w:val="00DA7AD3"/>
    <w:rsid w:val="00DE5B41"/>
    <w:rsid w:val="00DF14A1"/>
    <w:rsid w:val="00E23CA5"/>
    <w:rsid w:val="00E31764"/>
    <w:rsid w:val="00E42A33"/>
    <w:rsid w:val="00EB0A75"/>
    <w:rsid w:val="00EB20D7"/>
    <w:rsid w:val="00EB3CBA"/>
    <w:rsid w:val="00EB4E5F"/>
    <w:rsid w:val="00EC5B3B"/>
    <w:rsid w:val="00ED3496"/>
    <w:rsid w:val="00EE190A"/>
    <w:rsid w:val="00EE3D44"/>
    <w:rsid w:val="00F107AB"/>
    <w:rsid w:val="00F134AE"/>
    <w:rsid w:val="00F345A8"/>
    <w:rsid w:val="00F56824"/>
    <w:rsid w:val="00F85419"/>
    <w:rsid w:val="00FA044E"/>
    <w:rsid w:val="00FD1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D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0D78"/>
    <w:pPr>
      <w:spacing w:after="200"/>
      <w:ind w:left="720"/>
      <w:contextualSpacing/>
    </w:pPr>
  </w:style>
  <w:style w:type="paragraph" w:customStyle="1" w:styleId="Body">
    <w:name w:val="Body"/>
    <w:basedOn w:val="Normal"/>
    <w:link w:val="BodyChar"/>
    <w:rsid w:val="00954683"/>
    <w:pPr>
      <w:spacing w:line="240" w:lineRule="auto"/>
    </w:pPr>
    <w:rPr>
      <w:rFonts w:ascii="Tahoma" w:eastAsia="Batang" w:hAnsi="Tahoma" w:cs="Tahoma"/>
      <w:sz w:val="18"/>
      <w:szCs w:val="20"/>
      <w:lang w:eastAsia="ko-KR"/>
    </w:rPr>
  </w:style>
  <w:style w:type="character" w:customStyle="1" w:styleId="BodyChar">
    <w:name w:val="Body Char"/>
    <w:basedOn w:val="DefaultParagraphFont"/>
    <w:link w:val="Body"/>
    <w:rsid w:val="00954683"/>
    <w:rPr>
      <w:rFonts w:ascii="Tahoma" w:eastAsia="Batang" w:hAnsi="Tahoma" w:cs="Tahoma"/>
      <w:sz w:val="18"/>
      <w:szCs w:val="20"/>
      <w:lang w:eastAsia="ko-KR"/>
    </w:rPr>
  </w:style>
  <w:style w:type="paragraph" w:styleId="Header">
    <w:name w:val="header"/>
    <w:basedOn w:val="Normal"/>
    <w:link w:val="HeaderChar"/>
    <w:uiPriority w:val="99"/>
    <w:semiHidden/>
    <w:unhideWhenUsed/>
    <w:rsid w:val="003D59C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59C8"/>
  </w:style>
  <w:style w:type="paragraph" w:styleId="Footer">
    <w:name w:val="footer"/>
    <w:basedOn w:val="Normal"/>
    <w:link w:val="FooterChar"/>
    <w:uiPriority w:val="99"/>
    <w:semiHidden/>
    <w:unhideWhenUsed/>
    <w:rsid w:val="003D59C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59C8"/>
  </w:style>
  <w:style w:type="paragraph" w:customStyle="1" w:styleId="Tabletext">
    <w:name w:val="Table text"/>
    <w:basedOn w:val="Normal"/>
    <w:link w:val="TabletextChar"/>
    <w:rsid w:val="00DF14A1"/>
    <w:pPr>
      <w:spacing w:line="240" w:lineRule="auto"/>
    </w:pPr>
    <w:rPr>
      <w:rFonts w:ascii="Arial" w:eastAsia="Times New Roman" w:hAnsi="Arial" w:cs="Times New Roman"/>
      <w:sz w:val="18"/>
      <w:szCs w:val="18"/>
    </w:rPr>
  </w:style>
  <w:style w:type="character" w:customStyle="1" w:styleId="TabletextChar">
    <w:name w:val="Table text Char"/>
    <w:basedOn w:val="DefaultParagraphFont"/>
    <w:link w:val="Tabletext"/>
    <w:rsid w:val="00DF14A1"/>
    <w:rPr>
      <w:rFonts w:ascii="Arial" w:eastAsia="Times New Roman"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Rotman</dc:creator>
  <cp:keywords/>
  <dc:description/>
  <cp:lastModifiedBy>Helen Pottle</cp:lastModifiedBy>
  <cp:revision>3</cp:revision>
  <dcterms:created xsi:type="dcterms:W3CDTF">2012-08-22T17:16:00Z</dcterms:created>
  <dcterms:modified xsi:type="dcterms:W3CDTF">2012-10-17T13:39:00Z</dcterms:modified>
</cp:coreProperties>
</file>