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44" w:rsidRPr="004623CC" w:rsidRDefault="006810F7" w:rsidP="00666E44">
      <w:pPr>
        <w:pStyle w:val="Heading1"/>
        <w:numPr>
          <w:ilvl w:val="0"/>
          <w:numId w:val="0"/>
        </w:numPr>
      </w:pPr>
      <w:r>
        <w:t>SOP 17</w:t>
      </w:r>
      <w:r w:rsidR="00666E44">
        <w:t>:</w:t>
      </w:r>
      <w:bookmarkStart w:id="0" w:name="_Toc11330132"/>
      <w:r w:rsidR="00666E44">
        <w:t xml:space="preserve"> </w:t>
      </w:r>
      <w:bookmarkEnd w:id="0"/>
      <w:r w:rsidR="00666E44">
        <w:t>Hazardous Materials Storage and Handling</w:t>
      </w:r>
    </w:p>
    <w:p w:rsidR="00666E44" w:rsidRDefault="00666E44" w:rsidP="00666E44">
      <w:pPr>
        <w:spacing w:line="276" w:lineRule="auto"/>
        <w:rPr>
          <w:rFonts w:ascii="Century Gothic" w:hAnsi="Century Gothic"/>
          <w:b/>
          <w:bCs/>
          <w:color w:val="006699"/>
          <w:sz w:val="24"/>
        </w:rPr>
      </w:pPr>
      <w:r w:rsidRPr="0063143C">
        <w:rPr>
          <w:rFonts w:ascii="Century Gothic" w:hAnsi="Century Gothic"/>
          <w:b/>
          <w:bCs/>
          <w:color w:val="006699"/>
          <w:sz w:val="24"/>
        </w:rPr>
        <w:t>Introduction</w:t>
      </w:r>
    </w:p>
    <w:p w:rsidR="00666E44" w:rsidRPr="004623CC" w:rsidRDefault="00666E44" w:rsidP="00666E44">
      <w:pPr>
        <w:widowControl w:val="0"/>
        <w:tabs>
          <w:tab w:val="left" w:pos="1187"/>
        </w:tabs>
        <w:spacing w:line="276" w:lineRule="auto"/>
      </w:pPr>
      <w:r w:rsidRPr="004623CC">
        <w:t xml:space="preserve">A hazardous material is any biological, chemical, or physical material with properties that make it dangerous or potentially harmful to human health or the environment. Hazardous materials can be released to the environment in a variety of ways. When hazardous materials come into contact with rain or snow, the pollutants are washed into the storm sewer system and to surface waterbodies and/or groundwater. Hazardous materials associated with municipal facilities and their operations include, but are not limited to, oil, gasoline, antifreeze, fertilizers, pesticides, and de-icing agents and additives. </w:t>
      </w:r>
    </w:p>
    <w:p w:rsidR="00666E44" w:rsidRDefault="00666E44" w:rsidP="00666E44">
      <w:pPr>
        <w:widowControl w:val="0"/>
        <w:tabs>
          <w:tab w:val="left" w:pos="1187"/>
        </w:tabs>
        <w:spacing w:line="276" w:lineRule="auto"/>
      </w:pPr>
    </w:p>
    <w:p w:rsidR="00666E44" w:rsidRPr="004623CC" w:rsidRDefault="00666E44" w:rsidP="00666E44">
      <w:pPr>
        <w:widowControl w:val="0"/>
        <w:tabs>
          <w:tab w:val="left" w:pos="1187"/>
        </w:tabs>
        <w:spacing w:line="276" w:lineRule="auto"/>
      </w:pPr>
      <w:r>
        <w:t>M</w:t>
      </w:r>
      <w:r w:rsidRPr="004623CC">
        <w:t xml:space="preserve">unicipally owned or managed facilities </w:t>
      </w:r>
      <w:r>
        <w:t>where hazardous materials are</w:t>
      </w:r>
      <w:r w:rsidRPr="004623CC">
        <w:t xml:space="preserve"> </w:t>
      </w:r>
      <w:r>
        <w:t>commonly</w:t>
      </w:r>
      <w:r w:rsidRPr="004623CC">
        <w:t xml:space="preserve"> store</w:t>
      </w:r>
      <w:r>
        <w:t>s</w:t>
      </w:r>
      <w:r w:rsidRPr="004623CC">
        <w:t xml:space="preserve"> and handle</w:t>
      </w:r>
      <w:r>
        <w:t>d</w:t>
      </w:r>
      <w:r w:rsidRPr="004623CC">
        <w:t xml:space="preserve"> include:</w:t>
      </w:r>
    </w:p>
    <w:p w:rsidR="00666E44" w:rsidRPr="004623CC" w:rsidRDefault="00666E44" w:rsidP="00666E44">
      <w:pPr>
        <w:pStyle w:val="ListParagraph"/>
        <w:widowControl w:val="0"/>
        <w:numPr>
          <w:ilvl w:val="0"/>
          <w:numId w:val="9"/>
        </w:numPr>
        <w:tabs>
          <w:tab w:val="left" w:pos="1187"/>
        </w:tabs>
        <w:spacing w:line="276" w:lineRule="auto"/>
      </w:pPr>
      <w:r w:rsidRPr="004623CC">
        <w:t>Equipment storage and maintenance yards</w:t>
      </w:r>
    </w:p>
    <w:p w:rsidR="00666E44" w:rsidRPr="004623CC" w:rsidRDefault="00666E44" w:rsidP="00666E44">
      <w:pPr>
        <w:pStyle w:val="ListParagraph"/>
        <w:widowControl w:val="0"/>
        <w:numPr>
          <w:ilvl w:val="0"/>
          <w:numId w:val="9"/>
        </w:numPr>
        <w:tabs>
          <w:tab w:val="left" w:pos="1187"/>
        </w:tabs>
        <w:spacing w:line="276" w:lineRule="auto"/>
      </w:pPr>
      <w:r w:rsidRPr="004623CC">
        <w:t>Hazardous waste disposal facilities</w:t>
      </w:r>
    </w:p>
    <w:p w:rsidR="00666E44" w:rsidRPr="004623CC" w:rsidRDefault="00666E44" w:rsidP="00666E44">
      <w:pPr>
        <w:pStyle w:val="ListParagraph"/>
        <w:widowControl w:val="0"/>
        <w:numPr>
          <w:ilvl w:val="0"/>
          <w:numId w:val="9"/>
        </w:numPr>
        <w:tabs>
          <w:tab w:val="left" w:pos="1187"/>
        </w:tabs>
        <w:spacing w:line="276" w:lineRule="auto"/>
      </w:pPr>
      <w:r w:rsidRPr="004623CC">
        <w:t>Hazardous waste handling and transfer facilities</w:t>
      </w:r>
    </w:p>
    <w:p w:rsidR="00666E44" w:rsidRPr="004623CC" w:rsidRDefault="00666E44" w:rsidP="00666E44">
      <w:pPr>
        <w:pStyle w:val="ListParagraph"/>
        <w:widowControl w:val="0"/>
        <w:numPr>
          <w:ilvl w:val="0"/>
          <w:numId w:val="9"/>
        </w:numPr>
        <w:tabs>
          <w:tab w:val="left" w:pos="1187"/>
        </w:tabs>
        <w:spacing w:line="276" w:lineRule="auto"/>
      </w:pPr>
      <w:r w:rsidRPr="004623CC">
        <w:t>Composting facilities</w:t>
      </w:r>
    </w:p>
    <w:p w:rsidR="00666E44" w:rsidRPr="004623CC" w:rsidRDefault="00666E44" w:rsidP="00666E44">
      <w:pPr>
        <w:pStyle w:val="ListParagraph"/>
        <w:widowControl w:val="0"/>
        <w:numPr>
          <w:ilvl w:val="0"/>
          <w:numId w:val="9"/>
        </w:numPr>
        <w:tabs>
          <w:tab w:val="left" w:pos="1187"/>
        </w:tabs>
        <w:spacing w:line="276" w:lineRule="auto"/>
      </w:pPr>
      <w:r w:rsidRPr="004623CC">
        <w:t>Materials storage yards</w:t>
      </w:r>
    </w:p>
    <w:p w:rsidR="00666E44" w:rsidRPr="004623CC" w:rsidRDefault="00666E44" w:rsidP="00666E44">
      <w:pPr>
        <w:pStyle w:val="ListParagraph"/>
        <w:widowControl w:val="0"/>
        <w:numPr>
          <w:ilvl w:val="0"/>
          <w:numId w:val="9"/>
        </w:numPr>
        <w:tabs>
          <w:tab w:val="left" w:pos="1187"/>
        </w:tabs>
        <w:spacing w:line="276" w:lineRule="auto"/>
      </w:pPr>
      <w:r w:rsidRPr="004623CC">
        <w:t>Municipal buildings and facilities (e.g., schools, libraries, police and fire departments, town offices, municipal pools, and parking garages)</w:t>
      </w:r>
    </w:p>
    <w:p w:rsidR="00666E44" w:rsidRPr="004623CC" w:rsidRDefault="00666E44" w:rsidP="00666E44">
      <w:pPr>
        <w:pStyle w:val="ListParagraph"/>
        <w:widowControl w:val="0"/>
        <w:numPr>
          <w:ilvl w:val="0"/>
          <w:numId w:val="9"/>
        </w:numPr>
        <w:tabs>
          <w:tab w:val="left" w:pos="1187"/>
        </w:tabs>
        <w:spacing w:line="276" w:lineRule="auto"/>
      </w:pPr>
      <w:r w:rsidRPr="004623CC">
        <w:t>Public works yards</w:t>
      </w:r>
    </w:p>
    <w:p w:rsidR="00666E44" w:rsidRPr="004623CC" w:rsidRDefault="00666E44" w:rsidP="00666E44">
      <w:pPr>
        <w:pStyle w:val="ListParagraph"/>
        <w:widowControl w:val="0"/>
        <w:numPr>
          <w:ilvl w:val="0"/>
          <w:numId w:val="9"/>
        </w:numPr>
        <w:tabs>
          <w:tab w:val="left" w:pos="1187"/>
        </w:tabs>
        <w:spacing w:line="276" w:lineRule="auto"/>
      </w:pPr>
      <w:r w:rsidRPr="004623CC">
        <w:t>Solid waste handling and transfer facilities</w:t>
      </w:r>
    </w:p>
    <w:p w:rsidR="00666E44" w:rsidRPr="004623CC" w:rsidRDefault="00666E44" w:rsidP="00666E44">
      <w:pPr>
        <w:pStyle w:val="ListParagraph"/>
        <w:widowControl w:val="0"/>
        <w:numPr>
          <w:ilvl w:val="0"/>
          <w:numId w:val="9"/>
        </w:numPr>
        <w:tabs>
          <w:tab w:val="left" w:pos="1187"/>
        </w:tabs>
        <w:spacing w:line="276" w:lineRule="auto"/>
      </w:pPr>
      <w:r w:rsidRPr="004623CC">
        <w:t>Vehicle storage and maintenance yards</w:t>
      </w:r>
    </w:p>
    <w:p w:rsidR="00666E44" w:rsidRPr="004623CC" w:rsidRDefault="00666E44" w:rsidP="00666E44">
      <w:pPr>
        <w:pStyle w:val="ListParagraph"/>
        <w:widowControl w:val="0"/>
        <w:numPr>
          <w:ilvl w:val="0"/>
          <w:numId w:val="9"/>
        </w:numPr>
        <w:tabs>
          <w:tab w:val="left" w:pos="1187"/>
        </w:tabs>
        <w:spacing w:line="276" w:lineRule="auto"/>
      </w:pPr>
      <w:r w:rsidRPr="004623CC">
        <w:t>Water and wastewater facilities</w:t>
      </w:r>
    </w:p>
    <w:p w:rsidR="00666E44" w:rsidRPr="004623CC" w:rsidRDefault="00666E44" w:rsidP="00666E44">
      <w:pPr>
        <w:widowControl w:val="0"/>
        <w:tabs>
          <w:tab w:val="left" w:pos="1187"/>
        </w:tabs>
        <w:spacing w:line="276" w:lineRule="auto"/>
      </w:pPr>
    </w:p>
    <w:p w:rsidR="00666E44" w:rsidRPr="004623CC" w:rsidRDefault="00666E44" w:rsidP="00666E44">
      <w:pPr>
        <w:widowControl w:val="0"/>
        <w:tabs>
          <w:tab w:val="left" w:pos="1187"/>
        </w:tabs>
        <w:spacing w:line="276" w:lineRule="auto"/>
      </w:pPr>
      <w:r w:rsidRPr="004623CC">
        <w:t>Minimizing or eliminating contact o</w:t>
      </w:r>
      <w:r>
        <w:t>f</w:t>
      </w:r>
      <w:r w:rsidRPr="004623CC">
        <w:t xml:space="preserve"> hazardous materials with stormwater can significantly reduce pollution of </w:t>
      </w:r>
      <w:r>
        <w:t>receiving</w:t>
      </w:r>
      <w:r w:rsidRPr="004623CC">
        <w:t xml:space="preserve"> waters. Proper hazardous material handling and storage also contributes to employee health, an organized workplace, and efficient operations. The goal of this written Standard Operating Procedure (SOP) is to provide guidance to </w:t>
      </w:r>
      <w:r>
        <w:t xml:space="preserve">municipal </w:t>
      </w:r>
      <w:r w:rsidRPr="004623CC">
        <w:t>employees to help prevent stormwater pollution</w:t>
      </w:r>
      <w:r>
        <w:t xml:space="preserve"> resulting from the handling and storage of hazardous materials</w:t>
      </w:r>
      <w:r w:rsidRPr="004623CC">
        <w:t>. If services are contracted, this SOP should be provided to the contractor. The contract should also specify that the contractor is responsible for compliance with all applicable laws.</w:t>
      </w:r>
    </w:p>
    <w:p w:rsidR="00666E44" w:rsidRPr="004623CC" w:rsidRDefault="00666E44" w:rsidP="00666E44">
      <w:pPr>
        <w:spacing w:line="276" w:lineRule="auto"/>
      </w:pPr>
    </w:p>
    <w:p w:rsidR="00666E44" w:rsidRPr="004623CC" w:rsidRDefault="00666E44" w:rsidP="00666E44">
      <w:pPr>
        <w:spacing w:line="276" w:lineRule="auto"/>
      </w:pPr>
      <w:r w:rsidRPr="004623CC">
        <w:t xml:space="preserve">The ##MUNICIPALITY## undertakes various </w:t>
      </w:r>
      <w:r>
        <w:t>activities</w:t>
      </w:r>
      <w:r w:rsidRPr="004623CC">
        <w:t xml:space="preserve"> in regards to handling and storing hazardous materials. </w:t>
      </w:r>
    </w:p>
    <w:p w:rsidR="00666E44" w:rsidRPr="004623CC" w:rsidRDefault="00666E44" w:rsidP="00666E44">
      <w:pPr>
        <w:spacing w:line="276" w:lineRule="auto"/>
      </w:pPr>
    </w:p>
    <w:p w:rsidR="00666E44" w:rsidRPr="004623CC" w:rsidRDefault="00666E44" w:rsidP="00666E44">
      <w:pPr>
        <w:pBdr>
          <w:top w:val="single" w:sz="4" w:space="1" w:color="7030A0"/>
          <w:left w:val="single" w:sz="4" w:space="4" w:color="7030A0"/>
          <w:bottom w:val="single" w:sz="4" w:space="1" w:color="7030A0"/>
          <w:right w:val="single" w:sz="4" w:space="4" w:color="7030A0"/>
        </w:pBdr>
        <w:spacing w:line="276" w:lineRule="auto"/>
      </w:pPr>
      <w:r w:rsidRPr="004623CC">
        <w:rPr>
          <w:rFonts w:asciiTheme="minorHAnsi" w:hAnsiTheme="minorHAnsi"/>
          <w:i/>
          <w:color w:val="7030A0"/>
          <w:szCs w:val="22"/>
        </w:rPr>
        <w:t>Instructions: Briefly describe the municipality’s spill response procedures, spill maintenance, spill guidance, etc.</w:t>
      </w:r>
    </w:p>
    <w:p w:rsidR="00666E44" w:rsidRPr="0063143C" w:rsidRDefault="00666E44" w:rsidP="00666E44">
      <w:pPr>
        <w:spacing w:line="276" w:lineRule="auto"/>
        <w:rPr>
          <w:rFonts w:ascii="Century Gothic" w:hAnsi="Century Gothic"/>
          <w:b/>
          <w:bCs/>
          <w:color w:val="006699"/>
          <w:sz w:val="24"/>
        </w:rPr>
      </w:pPr>
    </w:p>
    <w:p w:rsidR="00666E44" w:rsidRPr="0063143C" w:rsidRDefault="00666E44" w:rsidP="00666E44">
      <w:pPr>
        <w:spacing w:line="276" w:lineRule="auto"/>
        <w:rPr>
          <w:rFonts w:ascii="Century Gothic" w:hAnsi="Century Gothic"/>
          <w:b/>
          <w:bCs/>
          <w:color w:val="006699"/>
          <w:sz w:val="24"/>
        </w:rPr>
      </w:pPr>
      <w:r w:rsidRPr="0063143C">
        <w:rPr>
          <w:rFonts w:ascii="Century Gothic" w:hAnsi="Century Gothic"/>
          <w:b/>
          <w:bCs/>
          <w:color w:val="006699"/>
          <w:sz w:val="24"/>
        </w:rPr>
        <w:t>Procedures</w:t>
      </w:r>
    </w:p>
    <w:p w:rsidR="00666E44" w:rsidRPr="004623CC" w:rsidRDefault="00666E44" w:rsidP="00666E44">
      <w:pPr>
        <w:widowControl w:val="0"/>
        <w:tabs>
          <w:tab w:val="left" w:pos="1187"/>
        </w:tabs>
        <w:spacing w:line="276" w:lineRule="auto"/>
      </w:pPr>
      <w:r w:rsidRPr="004623CC">
        <w:t xml:space="preserve">The ##MUNICIPALITY will implement the following procedures for handling and storing hazardous materials to reduce the discharge of pollutants to the MS4: </w:t>
      </w:r>
    </w:p>
    <w:p w:rsidR="00666E44" w:rsidRDefault="00666E44" w:rsidP="00666E44">
      <w:pPr>
        <w:spacing w:line="276" w:lineRule="auto"/>
        <w:rPr>
          <w:b/>
        </w:rPr>
      </w:pPr>
    </w:p>
    <w:p w:rsidR="00666E44" w:rsidRPr="004623CC" w:rsidRDefault="00666E44" w:rsidP="00666E44">
      <w:pPr>
        <w:widowControl w:val="0"/>
        <w:tabs>
          <w:tab w:val="left" w:pos="1187"/>
        </w:tabs>
        <w:spacing w:line="276" w:lineRule="auto"/>
        <w:rPr>
          <w:b/>
        </w:rPr>
      </w:pPr>
      <w:r w:rsidRPr="004623CC">
        <w:rPr>
          <w:b/>
        </w:rPr>
        <w:lastRenderedPageBreak/>
        <w:t>Handling, Loading, and Unloading</w:t>
      </w:r>
    </w:p>
    <w:p w:rsidR="00666E44" w:rsidRPr="004623CC" w:rsidRDefault="00666E44" w:rsidP="00666E44">
      <w:pPr>
        <w:pStyle w:val="ListParagraph"/>
        <w:widowControl w:val="0"/>
        <w:numPr>
          <w:ilvl w:val="0"/>
          <w:numId w:val="10"/>
        </w:numPr>
        <w:tabs>
          <w:tab w:val="left" w:pos="1187"/>
        </w:tabs>
        <w:spacing w:line="276" w:lineRule="auto"/>
      </w:pPr>
      <w:r w:rsidRPr="004623CC">
        <w:t>Avoid loading/unloading materials in the rain and/or provide cover.</w:t>
      </w:r>
    </w:p>
    <w:p w:rsidR="00666E44" w:rsidRPr="004623CC" w:rsidRDefault="00666E44" w:rsidP="00666E44">
      <w:pPr>
        <w:pStyle w:val="ListParagraph"/>
        <w:widowControl w:val="0"/>
        <w:numPr>
          <w:ilvl w:val="0"/>
          <w:numId w:val="10"/>
        </w:numPr>
        <w:tabs>
          <w:tab w:val="left" w:pos="1187"/>
        </w:tabs>
        <w:spacing w:line="276" w:lineRule="auto"/>
      </w:pPr>
      <w:r w:rsidRPr="004623CC">
        <w:t xml:space="preserve">Retrace areas where materials have been transferred to identify spills. If spills are found, immediately clean them up. Follow </w:t>
      </w:r>
      <w:r>
        <w:t>procedures in SOP 4</w:t>
      </w:r>
      <w:r w:rsidRPr="004623CC">
        <w:t xml:space="preserve">: </w:t>
      </w:r>
      <w:r>
        <w:t>Spill Response and Cleanup</w:t>
      </w:r>
      <w:r w:rsidRPr="004623CC">
        <w:t>.</w:t>
      </w:r>
      <w:bookmarkStart w:id="1" w:name="_GoBack"/>
      <w:bookmarkEnd w:id="1"/>
    </w:p>
    <w:p w:rsidR="00666E44" w:rsidRPr="004623CC" w:rsidRDefault="00666E44" w:rsidP="00666E44">
      <w:pPr>
        <w:pStyle w:val="ListParagraph"/>
        <w:widowControl w:val="0"/>
        <w:numPr>
          <w:ilvl w:val="0"/>
          <w:numId w:val="10"/>
        </w:numPr>
        <w:tabs>
          <w:tab w:val="left" w:pos="1187"/>
        </w:tabs>
        <w:spacing w:line="276" w:lineRule="auto"/>
      </w:pPr>
      <w:r w:rsidRPr="004623CC">
        <w:t>Time delivery and handling of materials during favorable weather conditions whenever possible (e.g., avoid receiving loads of sand during windy weather).</w:t>
      </w:r>
    </w:p>
    <w:p w:rsidR="00666E44" w:rsidRPr="004623CC" w:rsidRDefault="00666E44" w:rsidP="00666E44">
      <w:pPr>
        <w:pStyle w:val="ListParagraph"/>
        <w:widowControl w:val="0"/>
        <w:numPr>
          <w:ilvl w:val="0"/>
          <w:numId w:val="10"/>
        </w:numPr>
        <w:tabs>
          <w:tab w:val="left" w:pos="1187"/>
        </w:tabs>
        <w:spacing w:line="276" w:lineRule="auto"/>
      </w:pPr>
      <w:r w:rsidRPr="004623CC">
        <w:t>Inspect containers for material compatibility and structural integrity prior to loading/unloading any raw or waste materials.</w:t>
      </w:r>
    </w:p>
    <w:p w:rsidR="00666E44" w:rsidRPr="004623CC" w:rsidRDefault="00666E44" w:rsidP="00666E44">
      <w:pPr>
        <w:pStyle w:val="ListParagraph"/>
        <w:widowControl w:val="0"/>
        <w:numPr>
          <w:ilvl w:val="0"/>
          <w:numId w:val="10"/>
        </w:numPr>
        <w:tabs>
          <w:tab w:val="left" w:pos="1187"/>
        </w:tabs>
        <w:spacing w:line="276" w:lineRule="auto"/>
      </w:pPr>
      <w:r w:rsidRPr="004623CC">
        <w:t>Use dry cleanup methods (e.g., squeegee and dust pan, sweeping, and absorbents as last step) rather than hosing down surfaces.</w:t>
      </w:r>
    </w:p>
    <w:p w:rsidR="00666E44" w:rsidRPr="004623CC" w:rsidRDefault="00666E44" w:rsidP="00666E44">
      <w:pPr>
        <w:widowControl w:val="0"/>
        <w:tabs>
          <w:tab w:val="left" w:pos="1187"/>
        </w:tabs>
        <w:spacing w:line="276" w:lineRule="auto"/>
      </w:pPr>
    </w:p>
    <w:p w:rsidR="00666E44" w:rsidRPr="004623CC" w:rsidRDefault="00666E44" w:rsidP="00666E44">
      <w:pPr>
        <w:widowControl w:val="0"/>
        <w:tabs>
          <w:tab w:val="left" w:pos="1187"/>
        </w:tabs>
        <w:spacing w:line="276" w:lineRule="auto"/>
        <w:rPr>
          <w:b/>
        </w:rPr>
      </w:pPr>
      <w:r w:rsidRPr="004623CC">
        <w:rPr>
          <w:b/>
        </w:rPr>
        <w:t>Material Storage</w:t>
      </w:r>
    </w:p>
    <w:p w:rsidR="00666E44" w:rsidRPr="004623CC" w:rsidRDefault="00666E44" w:rsidP="00666E44">
      <w:pPr>
        <w:pStyle w:val="ListParagraph"/>
        <w:widowControl w:val="0"/>
        <w:numPr>
          <w:ilvl w:val="0"/>
          <w:numId w:val="11"/>
        </w:numPr>
        <w:tabs>
          <w:tab w:val="left" w:pos="1187"/>
        </w:tabs>
        <w:spacing w:line="276" w:lineRule="auto"/>
      </w:pPr>
      <w:r w:rsidRPr="004623CC">
        <w:t>Confine material storage indoors whenever possible. Plug or disconnect floor drains that lead to the stormwater system.</w:t>
      </w:r>
    </w:p>
    <w:p w:rsidR="00666E44" w:rsidRPr="004623CC" w:rsidRDefault="00666E44" w:rsidP="00666E44">
      <w:pPr>
        <w:pStyle w:val="ListParagraph"/>
        <w:widowControl w:val="0"/>
        <w:numPr>
          <w:ilvl w:val="0"/>
          <w:numId w:val="11"/>
        </w:numPr>
        <w:tabs>
          <w:tab w:val="left" w:pos="1187"/>
        </w:tabs>
        <w:spacing w:line="276" w:lineRule="auto"/>
      </w:pPr>
      <w:r w:rsidRPr="004623CC">
        <w:t>Confine outdoor material storage to designated areas that are covered, on impervious surfaces, away from high traffic areas, and outside of drainage pathways.</w:t>
      </w:r>
    </w:p>
    <w:p w:rsidR="00666E44" w:rsidRPr="004623CC" w:rsidRDefault="00666E44" w:rsidP="00666E44">
      <w:pPr>
        <w:pStyle w:val="ListParagraph"/>
        <w:widowControl w:val="0"/>
        <w:numPr>
          <w:ilvl w:val="0"/>
          <w:numId w:val="11"/>
        </w:numPr>
        <w:tabs>
          <w:tab w:val="left" w:pos="1187"/>
        </w:tabs>
        <w:spacing w:line="276" w:lineRule="auto"/>
      </w:pPr>
      <w:r w:rsidRPr="004623CC">
        <w:t>Store containers on pallets or equivalent structures to facilitate leak inspection and to prevent contact with wet floors that can cause corrosion. This technique also reduces incidences of container damage by insects and rodents.</w:t>
      </w:r>
    </w:p>
    <w:p w:rsidR="00666E44" w:rsidRPr="004623CC" w:rsidRDefault="00666E44" w:rsidP="00666E44">
      <w:pPr>
        <w:pStyle w:val="ListParagraph"/>
        <w:widowControl w:val="0"/>
        <w:numPr>
          <w:ilvl w:val="0"/>
          <w:numId w:val="11"/>
        </w:numPr>
        <w:tabs>
          <w:tab w:val="left" w:pos="1187"/>
        </w:tabs>
        <w:spacing w:line="276" w:lineRule="auto"/>
      </w:pPr>
      <w:r w:rsidRPr="004623CC">
        <w:t>Store materials and waste in materially compatible containment units.</w:t>
      </w:r>
    </w:p>
    <w:p w:rsidR="00666E44" w:rsidRPr="004623CC" w:rsidRDefault="00666E44" w:rsidP="00666E44">
      <w:pPr>
        <w:pStyle w:val="ListParagraph"/>
        <w:widowControl w:val="0"/>
        <w:numPr>
          <w:ilvl w:val="0"/>
          <w:numId w:val="11"/>
        </w:numPr>
        <w:tabs>
          <w:tab w:val="left" w:pos="1187"/>
        </w:tabs>
        <w:spacing w:line="276" w:lineRule="auto"/>
      </w:pPr>
      <w:r w:rsidRPr="004623CC">
        <w:t>Keep hazardous materials in their original containers.</w:t>
      </w:r>
    </w:p>
    <w:p w:rsidR="00666E44" w:rsidRPr="004623CC" w:rsidRDefault="00666E44" w:rsidP="00666E44">
      <w:pPr>
        <w:pStyle w:val="ListParagraph"/>
        <w:widowControl w:val="0"/>
        <w:numPr>
          <w:ilvl w:val="0"/>
          <w:numId w:val="11"/>
        </w:numPr>
        <w:tabs>
          <w:tab w:val="left" w:pos="1187"/>
        </w:tabs>
        <w:spacing w:line="276" w:lineRule="auto"/>
      </w:pPr>
      <w:r w:rsidRPr="004623CC">
        <w:t>If materials are not in their original containers, clearly label all storage containers with the name of the chemical, the expiration date, and handling instructions.</w:t>
      </w:r>
    </w:p>
    <w:p w:rsidR="00666E44" w:rsidRPr="004623CC" w:rsidRDefault="00666E44" w:rsidP="00666E44">
      <w:pPr>
        <w:pStyle w:val="ListParagraph"/>
        <w:widowControl w:val="0"/>
        <w:numPr>
          <w:ilvl w:val="0"/>
          <w:numId w:val="11"/>
        </w:numPr>
        <w:tabs>
          <w:tab w:val="left" w:pos="1187"/>
        </w:tabs>
        <w:spacing w:line="276" w:lineRule="auto"/>
      </w:pPr>
      <w:r w:rsidRPr="004623CC">
        <w:t>Maintain an inventory of all raw and waste materials to identify leakage. Order new materials only when needed.</w:t>
      </w:r>
    </w:p>
    <w:p w:rsidR="00666E44" w:rsidRPr="004623CC" w:rsidRDefault="00666E44" w:rsidP="00666E44">
      <w:pPr>
        <w:pStyle w:val="ListParagraph"/>
        <w:widowControl w:val="0"/>
        <w:numPr>
          <w:ilvl w:val="0"/>
          <w:numId w:val="11"/>
        </w:numPr>
        <w:tabs>
          <w:tab w:val="left" w:pos="1187"/>
        </w:tabs>
        <w:spacing w:line="276" w:lineRule="auto"/>
      </w:pPr>
      <w:r w:rsidRPr="004623CC">
        <w:t>Provide secondary containment for storage tanks and drums with sufficient volume to store 110 percent of the volume of the material.</w:t>
      </w:r>
    </w:p>
    <w:p w:rsidR="00666E44" w:rsidRPr="004623CC" w:rsidRDefault="00666E44" w:rsidP="00666E44">
      <w:pPr>
        <w:pStyle w:val="ListParagraph"/>
        <w:widowControl w:val="0"/>
        <w:numPr>
          <w:ilvl w:val="0"/>
          <w:numId w:val="11"/>
        </w:numPr>
        <w:tabs>
          <w:tab w:val="left" w:pos="1187"/>
        </w:tabs>
        <w:spacing w:line="276" w:lineRule="auto"/>
      </w:pPr>
      <w:r w:rsidRPr="004623CC">
        <w:t>Provide sufficient aisle space to allow for routine inspections and access for spill cleanup.</w:t>
      </w:r>
    </w:p>
    <w:p w:rsidR="00666E44" w:rsidRPr="004623CC" w:rsidRDefault="00666E44" w:rsidP="00666E44">
      <w:pPr>
        <w:pStyle w:val="ListParagraph"/>
        <w:widowControl w:val="0"/>
        <w:numPr>
          <w:ilvl w:val="0"/>
          <w:numId w:val="11"/>
        </w:numPr>
        <w:tabs>
          <w:tab w:val="left" w:pos="1187"/>
        </w:tabs>
        <w:spacing w:line="276" w:lineRule="auto"/>
      </w:pPr>
      <w:r w:rsidRPr="004623CC">
        <w:t>Inspect storage areas for spills or leaks and containment units for corrosion or other failures.</w:t>
      </w:r>
    </w:p>
    <w:p w:rsidR="00666E44" w:rsidRPr="004623CC" w:rsidRDefault="00666E44" w:rsidP="00666E44">
      <w:pPr>
        <w:widowControl w:val="0"/>
        <w:tabs>
          <w:tab w:val="left" w:pos="1187"/>
        </w:tabs>
        <w:spacing w:line="276" w:lineRule="auto"/>
      </w:pPr>
    </w:p>
    <w:p w:rsidR="00666E44" w:rsidRPr="004623CC" w:rsidRDefault="00666E44" w:rsidP="00666E44">
      <w:pPr>
        <w:widowControl w:val="0"/>
        <w:tabs>
          <w:tab w:val="left" w:pos="1187"/>
        </w:tabs>
        <w:spacing w:line="276" w:lineRule="auto"/>
        <w:rPr>
          <w:b/>
        </w:rPr>
      </w:pPr>
      <w:r w:rsidRPr="004623CC">
        <w:rPr>
          <w:b/>
        </w:rPr>
        <w:t>Waste Treatment, Disposal, and Cleanup</w:t>
      </w:r>
    </w:p>
    <w:p w:rsidR="00666E44" w:rsidRPr="004623CC" w:rsidRDefault="00666E44" w:rsidP="00666E44">
      <w:pPr>
        <w:pStyle w:val="ListParagraph"/>
        <w:widowControl w:val="0"/>
        <w:numPr>
          <w:ilvl w:val="0"/>
          <w:numId w:val="12"/>
        </w:numPr>
        <w:tabs>
          <w:tab w:val="left" w:pos="1187"/>
        </w:tabs>
        <w:spacing w:line="276" w:lineRule="auto"/>
      </w:pPr>
      <w:r w:rsidRPr="004623CC">
        <w:t>Adopt a regular schedule for the pick-up and disposal of waste materials.</w:t>
      </w:r>
    </w:p>
    <w:p w:rsidR="00666E44" w:rsidRPr="004623CC" w:rsidRDefault="00666E44" w:rsidP="00666E44">
      <w:pPr>
        <w:pStyle w:val="ListParagraph"/>
        <w:widowControl w:val="0"/>
        <w:numPr>
          <w:ilvl w:val="0"/>
          <w:numId w:val="12"/>
        </w:numPr>
        <w:tabs>
          <w:tab w:val="left" w:pos="1187"/>
        </w:tabs>
        <w:spacing w:line="276" w:lineRule="auto"/>
      </w:pPr>
      <w:r w:rsidRPr="004623CC">
        <w:t>Recycle leftover materials whenever possible.</w:t>
      </w:r>
    </w:p>
    <w:p w:rsidR="00666E44" w:rsidRPr="004623CC" w:rsidRDefault="00666E44" w:rsidP="00666E44">
      <w:pPr>
        <w:pStyle w:val="ListParagraph"/>
        <w:widowControl w:val="0"/>
        <w:numPr>
          <w:ilvl w:val="0"/>
          <w:numId w:val="12"/>
        </w:numPr>
        <w:tabs>
          <w:tab w:val="left" w:pos="1187"/>
        </w:tabs>
        <w:spacing w:line="276" w:lineRule="auto"/>
      </w:pPr>
      <w:r w:rsidRPr="004623CC">
        <w:t>Substitute nonhazardous or less-hazardous materials for hazardous materials whenever possible.</w:t>
      </w:r>
    </w:p>
    <w:p w:rsidR="00666E44" w:rsidRPr="004623CC" w:rsidRDefault="00666E44" w:rsidP="00666E44">
      <w:pPr>
        <w:pStyle w:val="ListParagraph"/>
        <w:widowControl w:val="0"/>
        <w:numPr>
          <w:ilvl w:val="0"/>
          <w:numId w:val="12"/>
        </w:numPr>
        <w:tabs>
          <w:tab w:val="left" w:pos="1187"/>
        </w:tabs>
        <w:spacing w:line="276" w:lineRule="auto"/>
      </w:pPr>
      <w:r w:rsidRPr="004623CC">
        <w:t>Protect empty containers from exposure to stormwater and dispose of them regularly to avoid contamination from container residues.</w:t>
      </w:r>
    </w:p>
    <w:p w:rsidR="00666E44" w:rsidRDefault="00666E44" w:rsidP="00666E44">
      <w:pPr>
        <w:spacing w:line="276" w:lineRule="auto"/>
        <w:rPr>
          <w:b/>
        </w:rPr>
      </w:pPr>
    </w:p>
    <w:p w:rsidR="00666E44" w:rsidRPr="00B6096F" w:rsidRDefault="00666E44" w:rsidP="00666E44">
      <w:pPr>
        <w:spacing w:line="276" w:lineRule="auto"/>
        <w:rPr>
          <w:b/>
        </w:rPr>
      </w:pPr>
      <w:r w:rsidRPr="00B6096F">
        <w:rPr>
          <w:b/>
        </w:rPr>
        <w:t>Employee Training</w:t>
      </w:r>
    </w:p>
    <w:p w:rsidR="00666E44" w:rsidRPr="00130DBB" w:rsidRDefault="00666E44" w:rsidP="00666E44">
      <w:pPr>
        <w:pStyle w:val="ListParagraph"/>
        <w:numPr>
          <w:ilvl w:val="0"/>
          <w:numId w:val="8"/>
        </w:numPr>
        <w:spacing w:line="276" w:lineRule="auto"/>
        <w:rPr>
          <w:b/>
        </w:rPr>
      </w:pPr>
      <w:r>
        <w:t xml:space="preserve">Employees who </w:t>
      </w:r>
      <w:r w:rsidR="006810F7">
        <w:t>handle and use</w:t>
      </w:r>
      <w:r>
        <w:t xml:space="preserve"> hazardous materials </w:t>
      </w:r>
      <w:r w:rsidR="006810F7">
        <w:t xml:space="preserve">are trained </w:t>
      </w:r>
      <w:r>
        <w:t>##NUMBER times per year on these procedures.</w:t>
      </w:r>
    </w:p>
    <w:p w:rsidR="00130DBB" w:rsidRPr="00130DBB" w:rsidRDefault="00130DBB" w:rsidP="00130DBB">
      <w:pPr>
        <w:pStyle w:val="ListParagraph"/>
        <w:numPr>
          <w:ilvl w:val="0"/>
          <w:numId w:val="8"/>
        </w:numPr>
        <w:spacing w:line="276" w:lineRule="auto"/>
        <w:rPr>
          <w:b/>
        </w:rPr>
      </w:pPr>
      <w:r>
        <w:t>Employees are also trained on stormwater pollution prevention, illicit discharge detection and elimination (IDDE) procedures, and spill and response procedures.</w:t>
      </w:r>
    </w:p>
    <w:p w:rsidR="00666E44" w:rsidRPr="004519EC" w:rsidRDefault="00666E44" w:rsidP="00666E44">
      <w:pPr>
        <w:pStyle w:val="ListParagraph"/>
        <w:numPr>
          <w:ilvl w:val="0"/>
          <w:numId w:val="8"/>
        </w:numPr>
        <w:spacing w:line="276" w:lineRule="auto"/>
        <w:rPr>
          <w:b/>
        </w:rPr>
      </w:pPr>
      <w:r>
        <w:lastRenderedPageBreak/>
        <w:t>If services are contracted, the contractor should be given a copy of this and any applicable SOPs to ensure compliance with MS4 regulations.</w:t>
      </w:r>
      <w:r>
        <w:br/>
      </w:r>
    </w:p>
    <w:p w:rsidR="00666E44" w:rsidRPr="0063143C" w:rsidRDefault="00666E44" w:rsidP="00666E44">
      <w:pPr>
        <w:tabs>
          <w:tab w:val="left" w:pos="2149"/>
        </w:tabs>
        <w:rPr>
          <w:rFonts w:ascii="Century Gothic" w:hAnsi="Century Gothic"/>
          <w:b/>
          <w:bCs/>
          <w:color w:val="006699"/>
          <w:sz w:val="24"/>
        </w:rPr>
      </w:pPr>
      <w:r w:rsidRPr="0063143C">
        <w:rPr>
          <w:rFonts w:ascii="Century Gothic" w:hAnsi="Century Gothic"/>
          <w:b/>
          <w:bCs/>
          <w:color w:val="006699"/>
          <w:sz w:val="24"/>
        </w:rPr>
        <w:t>Related Standard Operating Procedures</w:t>
      </w:r>
    </w:p>
    <w:p w:rsidR="005F0484" w:rsidRDefault="00666E44" w:rsidP="00666E44">
      <w:pPr>
        <w:pStyle w:val="ListParagraph"/>
        <w:numPr>
          <w:ilvl w:val="0"/>
          <w:numId w:val="13"/>
        </w:numPr>
      </w:pPr>
      <w:r>
        <w:t>SOP 4: Spill Response and Cleanup</w:t>
      </w:r>
    </w:p>
    <w:sectPr w:rsidR="005F0484" w:rsidSect="00666E4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44" w:rsidRDefault="00666E44" w:rsidP="00666E44">
      <w:pPr>
        <w:spacing w:line="240" w:lineRule="auto"/>
      </w:pPr>
      <w:r>
        <w:separator/>
      </w:r>
    </w:p>
  </w:endnote>
  <w:endnote w:type="continuationSeparator" w:id="0">
    <w:p w:rsidR="00666E44" w:rsidRDefault="00666E44" w:rsidP="00666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B7" w:rsidRPr="00A52B42" w:rsidRDefault="00AD1BB7" w:rsidP="00AD1BB7">
    <w:pPr>
      <w:rPr>
        <w:color w:val="006699"/>
      </w:rPr>
    </w:pPr>
    <w:r>
      <w:rPr>
        <w:noProof/>
      </w:rPr>
      <w:drawing>
        <wp:anchor distT="0" distB="0" distL="114300" distR="114300" simplePos="0" relativeHeight="251667456" behindDoc="0" locked="0" layoutInCell="1" allowOverlap="1" wp14:anchorId="2042341E" wp14:editId="26D61A46">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5" name="Picture 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EBAABD2" wp14:editId="5A5E8090">
          <wp:simplePos x="0" y="0"/>
          <wp:positionH relativeFrom="column">
            <wp:posOffset>5103703</wp:posOffset>
          </wp:positionH>
          <wp:positionV relativeFrom="paragraph">
            <wp:posOffset>-12653</wp:posOffset>
          </wp:positionV>
          <wp:extent cx="1114425" cy="779780"/>
          <wp:effectExtent l="0" t="0" r="9525" b="1270"/>
          <wp:wrapNone/>
          <wp:docPr id="6" name="Picture 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66432" behindDoc="0" locked="0" layoutInCell="1" allowOverlap="1" wp14:anchorId="7676F617" wp14:editId="4CCBD221">
          <wp:simplePos x="0" y="0"/>
          <wp:positionH relativeFrom="column">
            <wp:posOffset>7459060</wp:posOffset>
          </wp:positionH>
          <wp:positionV relativeFrom="paragraph">
            <wp:posOffset>-484116</wp:posOffset>
          </wp:positionV>
          <wp:extent cx="1114425" cy="779780"/>
          <wp:effectExtent l="0" t="0" r="9525" b="1270"/>
          <wp:wrapNone/>
          <wp:docPr id="7" name="Picture 7"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AD1BB7" w:rsidRPr="006810F7" w:rsidRDefault="00AD1BB7" w:rsidP="006810F7">
    <w:pPr>
      <w:ind w:left="2880" w:firstLine="720"/>
      <w:rPr>
        <w:color w:val="006699"/>
      </w:rPr>
    </w:pPr>
    <w:r w:rsidRPr="00A52B42">
      <w:rPr>
        <w:color w:val="006699"/>
      </w:rPr>
      <w:t>June 2019</w:t>
    </w:r>
    <w:r w:rsidRPr="00A52B42">
      <w:rPr>
        <w:color w:val="006699"/>
      </w:rPr>
      <w:tab/>
      <w:t xml:space="preserve">Page </w:t>
    </w:r>
    <w:r w:rsidRPr="00A52B42">
      <w:rPr>
        <w:color w:val="006699"/>
      </w:rPr>
      <w:fldChar w:fldCharType="begin"/>
    </w:r>
    <w:r w:rsidRPr="00A52B42">
      <w:rPr>
        <w:color w:val="006699"/>
      </w:rPr>
      <w:instrText xml:space="preserve"> PAGE </w:instrText>
    </w:r>
    <w:r w:rsidRPr="00A52B42">
      <w:rPr>
        <w:color w:val="006699"/>
      </w:rPr>
      <w:fldChar w:fldCharType="separate"/>
    </w:r>
    <w:r w:rsidR="0003438C">
      <w:rPr>
        <w:noProof/>
        <w:color w:val="006699"/>
      </w:rPr>
      <w:t>3</w:t>
    </w:r>
    <w:r w:rsidRPr="00A52B42">
      <w:rPr>
        <w:color w:val="006699"/>
      </w:rPr>
      <w:fldChar w:fldCharType="end"/>
    </w:r>
    <w:r w:rsidRPr="00A52B42">
      <w:rPr>
        <w:color w:val="006699"/>
      </w:rPr>
      <w:t xml:space="preserve"> of </w:t>
    </w:r>
    <w:r>
      <w:rPr>
        <w:color w:val="006699"/>
      </w:rPr>
      <w:t>3</w:t>
    </w:r>
    <w:r>
      <w:rPr>
        <w:noProof/>
      </w:rPr>
      <w:drawing>
        <wp:anchor distT="0" distB="0" distL="114300" distR="114300" simplePos="0" relativeHeight="251665408" behindDoc="0" locked="0" layoutInCell="1" allowOverlap="1" wp14:anchorId="42492CE8" wp14:editId="0C4C8FDC">
          <wp:simplePos x="0" y="0"/>
          <wp:positionH relativeFrom="column">
            <wp:posOffset>7668990</wp:posOffset>
          </wp:positionH>
          <wp:positionV relativeFrom="paragraph">
            <wp:posOffset>-463531</wp:posOffset>
          </wp:positionV>
          <wp:extent cx="1114425" cy="779780"/>
          <wp:effectExtent l="0" t="0" r="9525" b="1270"/>
          <wp:wrapNone/>
          <wp:docPr id="8" name="Picture 8"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44" w:rsidRPr="00A52B42" w:rsidRDefault="00666E44" w:rsidP="00666E44">
    <w:pPr>
      <w:rPr>
        <w:color w:val="006699"/>
      </w:rPr>
    </w:pPr>
    <w:r>
      <w:rPr>
        <w:noProof/>
      </w:rPr>
      <w:drawing>
        <wp:anchor distT="0" distB="0" distL="114300" distR="114300" simplePos="0" relativeHeight="251660288" behindDoc="0" locked="0" layoutInCell="1" allowOverlap="1" wp14:anchorId="3570FACD" wp14:editId="4A525015">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109" name="Picture 109"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2D705A7" wp14:editId="1E00B136">
          <wp:simplePos x="0" y="0"/>
          <wp:positionH relativeFrom="column">
            <wp:posOffset>5103703</wp:posOffset>
          </wp:positionH>
          <wp:positionV relativeFrom="paragraph">
            <wp:posOffset>-12653</wp:posOffset>
          </wp:positionV>
          <wp:extent cx="1114425" cy="779780"/>
          <wp:effectExtent l="0" t="0" r="9525" b="1270"/>
          <wp:wrapNone/>
          <wp:docPr id="110" name="Picture 11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57216" behindDoc="0" locked="0" layoutInCell="1" allowOverlap="1" wp14:anchorId="1B9B1A6B" wp14:editId="28513E62">
          <wp:simplePos x="0" y="0"/>
          <wp:positionH relativeFrom="column">
            <wp:posOffset>7459060</wp:posOffset>
          </wp:positionH>
          <wp:positionV relativeFrom="paragraph">
            <wp:posOffset>-484116</wp:posOffset>
          </wp:positionV>
          <wp:extent cx="1114425" cy="779780"/>
          <wp:effectExtent l="0" t="0" r="9525" b="1270"/>
          <wp:wrapNone/>
          <wp:docPr id="111" name="Picture 11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666E44" w:rsidRPr="006810F7" w:rsidRDefault="00666E44" w:rsidP="006810F7">
    <w:pPr>
      <w:ind w:left="2880" w:firstLine="720"/>
      <w:rPr>
        <w:color w:val="006699"/>
      </w:rPr>
    </w:pPr>
    <w:r w:rsidRPr="00A52B42">
      <w:rPr>
        <w:color w:val="006699"/>
      </w:rPr>
      <w:t>June 2019</w:t>
    </w:r>
    <w:r w:rsidRPr="00A52B42">
      <w:rPr>
        <w:color w:val="006699"/>
      </w:rPr>
      <w:tab/>
      <w:t xml:space="preserve">Page </w:t>
    </w:r>
    <w:r w:rsidRPr="00A52B42">
      <w:rPr>
        <w:color w:val="006699"/>
      </w:rPr>
      <w:fldChar w:fldCharType="begin"/>
    </w:r>
    <w:r w:rsidRPr="00A52B42">
      <w:rPr>
        <w:color w:val="006699"/>
      </w:rPr>
      <w:instrText xml:space="preserve"> PAGE </w:instrText>
    </w:r>
    <w:r w:rsidRPr="00A52B42">
      <w:rPr>
        <w:color w:val="006699"/>
      </w:rPr>
      <w:fldChar w:fldCharType="separate"/>
    </w:r>
    <w:r w:rsidR="0003438C">
      <w:rPr>
        <w:noProof/>
        <w:color w:val="006699"/>
      </w:rPr>
      <w:t>1</w:t>
    </w:r>
    <w:r w:rsidRPr="00A52B42">
      <w:rPr>
        <w:color w:val="006699"/>
      </w:rPr>
      <w:fldChar w:fldCharType="end"/>
    </w:r>
    <w:r w:rsidRPr="00A52B42">
      <w:rPr>
        <w:color w:val="006699"/>
      </w:rPr>
      <w:t xml:space="preserve"> of </w:t>
    </w:r>
    <w:r>
      <w:rPr>
        <w:color w:val="006699"/>
      </w:rPr>
      <w:t>3</w:t>
    </w:r>
    <w:r>
      <w:rPr>
        <w:noProof/>
      </w:rPr>
      <w:drawing>
        <wp:anchor distT="0" distB="0" distL="114300" distR="114300" simplePos="0" relativeHeight="251654144" behindDoc="0" locked="0" layoutInCell="1" allowOverlap="1" wp14:anchorId="4FD30254" wp14:editId="6D0D2A5A">
          <wp:simplePos x="0" y="0"/>
          <wp:positionH relativeFrom="column">
            <wp:posOffset>7668990</wp:posOffset>
          </wp:positionH>
          <wp:positionV relativeFrom="paragraph">
            <wp:posOffset>-463531</wp:posOffset>
          </wp:positionV>
          <wp:extent cx="1114425" cy="779780"/>
          <wp:effectExtent l="0" t="0" r="9525" b="1270"/>
          <wp:wrapNone/>
          <wp:docPr id="112" name="Picture 112"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44" w:rsidRDefault="00666E44" w:rsidP="00666E44">
      <w:pPr>
        <w:spacing w:line="240" w:lineRule="auto"/>
      </w:pPr>
      <w:r>
        <w:separator/>
      </w:r>
    </w:p>
  </w:footnote>
  <w:footnote w:type="continuationSeparator" w:id="0">
    <w:p w:rsidR="00666E44" w:rsidRDefault="00666E44" w:rsidP="00666E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44" w:rsidRPr="00A52B42" w:rsidRDefault="00666E44" w:rsidP="00666E44">
    <w:pPr>
      <w:pStyle w:val="Header"/>
      <w:rPr>
        <w:color w:val="006699"/>
      </w:rPr>
    </w:pPr>
    <w:r w:rsidRPr="00A52B42">
      <w:rPr>
        <w:color w:val="006699"/>
      </w:rPr>
      <w:t>Standard Operating Procedures</w:t>
    </w:r>
    <w:r w:rsidRPr="00A52B42">
      <w:rPr>
        <w:color w:val="006699"/>
      </w:rPr>
      <w:tab/>
    </w:r>
    <w:r w:rsidRPr="00A52B42">
      <w:rPr>
        <w:color w:val="006699"/>
      </w:rPr>
      <w:tab/>
      <w:t xml:space="preserve">Central Massachusetts </w:t>
    </w:r>
    <w:r w:rsidR="0003438C">
      <w:rPr>
        <w:color w:val="006699"/>
      </w:rPr>
      <w:t xml:space="preserve">Regional </w:t>
    </w:r>
    <w:r w:rsidRPr="00A52B42">
      <w:rPr>
        <w:color w:val="006699"/>
      </w:rPr>
      <w:t>Stormwater Coalition</w:t>
    </w:r>
  </w:p>
  <w:p w:rsidR="00666E44" w:rsidRPr="00666E44" w:rsidRDefault="00666E44">
    <w:pPr>
      <w:pStyle w:val="Header"/>
      <w:rPr>
        <w:color w:val="006699"/>
      </w:rPr>
    </w:pPr>
    <w:r w:rsidRPr="00A52B42">
      <w:rPr>
        <w:color w:val="006699"/>
      </w:rPr>
      <w:tab/>
    </w:r>
    <w:r>
      <w:rPr>
        <w:color w:val="006699"/>
      </w:rPr>
      <w:t xml:space="preserve">                                                                                         </w:t>
    </w:r>
    <w:r w:rsidR="006810F7">
      <w:rPr>
        <w:color w:val="006699"/>
      </w:rPr>
      <w:t>SOP 17</w:t>
    </w:r>
    <w:r w:rsidRPr="00A52B42">
      <w:rPr>
        <w:color w:val="006699"/>
      </w:rPr>
      <w:t xml:space="preserve">: </w:t>
    </w:r>
    <w:r>
      <w:rPr>
        <w:color w:val="006699"/>
      </w:rPr>
      <w:t>Hazardous Materials Storage and Handling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44" w:rsidRPr="00666E44" w:rsidRDefault="00666E44">
    <w:pPr>
      <w:pStyle w:val="Header"/>
      <w:rPr>
        <w:color w:val="006699"/>
      </w:rPr>
    </w:pPr>
    <w:r w:rsidRPr="00A52B42">
      <w:rPr>
        <w:color w:val="006699"/>
      </w:rPr>
      <w:t>Standard Operating Procedures</w:t>
    </w:r>
    <w:r w:rsidRPr="00A52B42">
      <w:rPr>
        <w:color w:val="006699"/>
      </w:rPr>
      <w:tab/>
    </w:r>
    <w:r w:rsidRPr="00A52B42">
      <w:rPr>
        <w:color w:val="006699"/>
      </w:rPr>
      <w:tab/>
      <w:t xml:space="preserve">Central Massachusetts </w:t>
    </w:r>
    <w:r w:rsidR="0003438C">
      <w:rPr>
        <w:color w:val="006699"/>
      </w:rPr>
      <w:t xml:space="preserve">Regional </w:t>
    </w:r>
    <w:r w:rsidRPr="00A52B42">
      <w:rPr>
        <w:color w:val="006699"/>
      </w:rPr>
      <w:t>Stormwater Coalition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219"/>
    <w:multiLevelType w:val="hybridMultilevel"/>
    <w:tmpl w:val="BB9E249C"/>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2627"/>
    <w:multiLevelType w:val="hybridMultilevel"/>
    <w:tmpl w:val="38E6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E0E54"/>
    <w:multiLevelType w:val="hybridMultilevel"/>
    <w:tmpl w:val="DB18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A6ACB"/>
    <w:multiLevelType w:val="hybridMultilevel"/>
    <w:tmpl w:val="7ECE0918"/>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A68FE"/>
    <w:multiLevelType w:val="hybridMultilevel"/>
    <w:tmpl w:val="6616CD7A"/>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A6B04E4"/>
    <w:multiLevelType w:val="hybridMultilevel"/>
    <w:tmpl w:val="AEAEC5DC"/>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EA43B50"/>
    <w:multiLevelType w:val="hybridMultilevel"/>
    <w:tmpl w:val="FFC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7"/>
  </w:num>
  <w:num w:numId="7">
    <w:abstractNumId w:val="7"/>
  </w:num>
  <w:num w:numId="8">
    <w:abstractNumId w:val="1"/>
  </w:num>
  <w:num w:numId="9">
    <w:abstractNumId w:val="0"/>
  </w:num>
  <w:num w:numId="10">
    <w:abstractNumId w:val="6"/>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44"/>
    <w:rsid w:val="00024840"/>
    <w:rsid w:val="0003438C"/>
    <w:rsid w:val="00130DBB"/>
    <w:rsid w:val="004D7FF6"/>
    <w:rsid w:val="00507E35"/>
    <w:rsid w:val="005F0484"/>
    <w:rsid w:val="00666E44"/>
    <w:rsid w:val="006810F7"/>
    <w:rsid w:val="0081268A"/>
    <w:rsid w:val="008179F1"/>
    <w:rsid w:val="00845F24"/>
    <w:rsid w:val="00873587"/>
    <w:rsid w:val="008C0B0C"/>
    <w:rsid w:val="00AA579D"/>
    <w:rsid w:val="00AD1BB7"/>
    <w:rsid w:val="00D31F0C"/>
    <w:rsid w:val="00D45515"/>
    <w:rsid w:val="00D60A18"/>
    <w:rsid w:val="00EF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316A75A-0080-448D-B2DF-A1F6A1E0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2"/>
        <w:szCs w:val="24"/>
        <w:lang w:val="en-US"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268A"/>
    <w:pPr>
      <w:spacing w:line="280" w:lineRule="atLeast"/>
    </w:pPr>
  </w:style>
  <w:style w:type="paragraph" w:styleId="Heading1">
    <w:name w:val="heading 1"/>
    <w:basedOn w:val="Normal"/>
    <w:next w:val="Normal"/>
    <w:link w:val="Heading1Char"/>
    <w:rsid w:val="00EF1C9D"/>
    <w:pPr>
      <w:keepNext/>
      <w:numPr>
        <w:numId w:val="5"/>
      </w:numPr>
      <w:tabs>
        <w:tab w:val="left" w:pos="720"/>
      </w:tabs>
      <w:autoSpaceDE w:val="0"/>
      <w:autoSpaceDN w:val="0"/>
      <w:adjustRightInd w:val="0"/>
      <w:spacing w:after="240" w:line="240" w:lineRule="auto"/>
      <w:outlineLvl w:val="0"/>
    </w:pPr>
    <w:rPr>
      <w:rFonts w:ascii="Century Gothic" w:hAnsi="Century Gothic"/>
      <w:b/>
      <w:bCs/>
      <w:color w:val="006699"/>
      <w:sz w:val="36"/>
    </w:rPr>
  </w:style>
  <w:style w:type="paragraph" w:styleId="Heading2">
    <w:name w:val="heading 2"/>
    <w:basedOn w:val="Normal"/>
    <w:next w:val="Normal"/>
    <w:link w:val="Heading2Char"/>
    <w:rsid w:val="00EF1C9D"/>
    <w:pPr>
      <w:widowControl w:val="0"/>
      <w:numPr>
        <w:ilvl w:val="1"/>
        <w:numId w:val="5"/>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rPr>
  </w:style>
  <w:style w:type="paragraph" w:styleId="Heading3">
    <w:name w:val="heading 3"/>
    <w:basedOn w:val="Heading2"/>
    <w:next w:val="Normal"/>
    <w:link w:val="Heading3Char"/>
    <w:rsid w:val="00EF1C9D"/>
    <w:pPr>
      <w:keepNext/>
      <w:numPr>
        <w:ilvl w:val="2"/>
      </w:numPr>
      <w:pBdr>
        <w:top w:val="none" w:sz="0" w:space="0" w:color="auto"/>
      </w:pBdr>
      <w:tabs>
        <w:tab w:val="left" w:pos="1008"/>
      </w:tabs>
      <w:outlineLvl w:val="2"/>
    </w:pPr>
    <w:rPr>
      <w:b w:val="0"/>
    </w:rPr>
  </w:style>
  <w:style w:type="paragraph" w:styleId="Heading4">
    <w:name w:val="heading 4"/>
    <w:basedOn w:val="Heading3"/>
    <w:next w:val="Normal"/>
    <w:link w:val="Heading4Char"/>
    <w:qFormat/>
    <w:rsid w:val="00D45515"/>
    <w:pPr>
      <w:numPr>
        <w:ilvl w:val="3"/>
      </w:numPr>
      <w:outlineLvl w:val="3"/>
    </w:pPr>
    <w:rPr>
      <w:bCs/>
      <w:i/>
    </w:rPr>
  </w:style>
  <w:style w:type="paragraph" w:styleId="Heading5">
    <w:name w:val="heading 5"/>
    <w:basedOn w:val="Normal"/>
    <w:next w:val="Normal"/>
    <w:link w:val="Heading5Char"/>
    <w:qFormat/>
    <w:rsid w:val="00D45515"/>
    <w:pPr>
      <w:keepNext/>
      <w:numPr>
        <w:ilvl w:val="4"/>
        <w:numId w:val="5"/>
      </w:numPr>
      <w:outlineLvl w:val="4"/>
    </w:pPr>
  </w:style>
  <w:style w:type="paragraph" w:styleId="Heading6">
    <w:name w:val="heading 6"/>
    <w:basedOn w:val="Normal"/>
    <w:next w:val="Normal"/>
    <w:link w:val="Heading6Char"/>
    <w:qFormat/>
    <w:rsid w:val="00D45515"/>
    <w:pPr>
      <w:keepNext/>
      <w:numPr>
        <w:ilvl w:val="5"/>
        <w:numId w:val="7"/>
      </w:numPr>
      <w:outlineLvl w:val="5"/>
    </w:pPr>
  </w:style>
  <w:style w:type="paragraph" w:styleId="Heading7">
    <w:name w:val="heading 7"/>
    <w:basedOn w:val="Normal"/>
    <w:next w:val="Normal"/>
    <w:link w:val="Heading7Char"/>
    <w:qFormat/>
    <w:rsid w:val="00D45515"/>
    <w:pPr>
      <w:keepNext/>
      <w:numPr>
        <w:ilvl w:val="6"/>
        <w:numId w:val="7"/>
      </w:num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ne1">
    <w:name w:val="App Line 1"/>
    <w:basedOn w:val="Normal"/>
    <w:next w:val="Normal"/>
    <w:rsid w:val="00EF1C9D"/>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EF1C9D"/>
    <w:pPr>
      <w:spacing w:line="240" w:lineRule="auto"/>
      <w:jc w:val="right"/>
    </w:pPr>
    <w:rPr>
      <w:rFonts w:ascii="Century Gothic" w:hAnsi="Century Gothic"/>
      <w:color w:val="006699"/>
      <w:sz w:val="28"/>
      <w:szCs w:val="28"/>
    </w:rPr>
  </w:style>
  <w:style w:type="paragraph" w:styleId="BalloonText">
    <w:name w:val="Balloon Text"/>
    <w:basedOn w:val="Normal"/>
    <w:link w:val="BalloonTextChar"/>
    <w:semiHidden/>
    <w:rsid w:val="00D45515"/>
    <w:rPr>
      <w:rFonts w:ascii="Tahoma" w:hAnsi="Tahoma" w:cs="Tahoma"/>
      <w:sz w:val="16"/>
      <w:szCs w:val="16"/>
    </w:rPr>
  </w:style>
  <w:style w:type="character" w:customStyle="1" w:styleId="BalloonTextChar">
    <w:name w:val="Balloon Text Char"/>
    <w:basedOn w:val="DefaultParagraphFont"/>
    <w:link w:val="BalloonText"/>
    <w:semiHidden/>
    <w:rsid w:val="00D45515"/>
    <w:rPr>
      <w:rFonts w:ascii="Tahoma" w:eastAsia="Times New Roman" w:hAnsi="Tahoma" w:cs="Tahoma"/>
      <w:sz w:val="16"/>
      <w:szCs w:val="16"/>
    </w:rPr>
  </w:style>
  <w:style w:type="paragraph" w:customStyle="1" w:styleId="Contents1">
    <w:name w:val="Contents 1"/>
    <w:basedOn w:val="Normal"/>
    <w:next w:val="Normal"/>
    <w:rsid w:val="00EF1C9D"/>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EF1C9D"/>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EF1C9D"/>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EF1C9D"/>
    <w:pPr>
      <w:tabs>
        <w:tab w:val="right" w:pos="8910"/>
      </w:tabs>
      <w:spacing w:line="240" w:lineRule="auto"/>
    </w:pPr>
    <w:rPr>
      <w:rFonts w:ascii="Century Gothic" w:hAnsi="Century Gothic" w:cs="Arial"/>
      <w:b/>
      <w:bCs/>
      <w:color w:val="006699"/>
    </w:rPr>
  </w:style>
  <w:style w:type="character" w:customStyle="1" w:styleId="Contents4Char">
    <w:name w:val="Contents 4 Char"/>
    <w:basedOn w:val="DefaultParagraphFont"/>
    <w:link w:val="Contents4"/>
    <w:rsid w:val="00EF1C9D"/>
    <w:rPr>
      <w:rFonts w:ascii="Century Gothic" w:hAnsi="Century Gothic" w:cs="Arial"/>
      <w:b/>
      <w:bCs/>
      <w:color w:val="006699"/>
    </w:rPr>
  </w:style>
  <w:style w:type="paragraph" w:customStyle="1" w:styleId="Cover1Title">
    <w:name w:val="Cover 1Title"/>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EF1C9D"/>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Heading1Char">
    <w:name w:val="Heading 1 Char"/>
    <w:basedOn w:val="DefaultParagraphFont"/>
    <w:link w:val="Heading1"/>
    <w:rsid w:val="00EF1C9D"/>
    <w:rPr>
      <w:rFonts w:ascii="Century Gothic" w:hAnsi="Century Gothic"/>
      <w:b/>
      <w:bCs/>
      <w:color w:val="006699"/>
      <w:sz w:val="36"/>
    </w:rPr>
  </w:style>
  <w:style w:type="character" w:customStyle="1" w:styleId="Heading2Char">
    <w:name w:val="Heading 2 Char"/>
    <w:basedOn w:val="DefaultParagraphFont"/>
    <w:link w:val="Heading2"/>
    <w:rsid w:val="00EF1C9D"/>
    <w:rPr>
      <w:rFonts w:ascii="Century Gothic" w:hAnsi="Century Gothic"/>
      <w:b/>
      <w:color w:val="006699"/>
      <w:sz w:val="28"/>
    </w:rPr>
  </w:style>
  <w:style w:type="character" w:customStyle="1" w:styleId="Heading3Char">
    <w:name w:val="Heading 3 Char"/>
    <w:basedOn w:val="DefaultParagraphFont"/>
    <w:link w:val="Heading3"/>
    <w:rsid w:val="00EF1C9D"/>
    <w:rPr>
      <w:rFonts w:ascii="Century Gothic" w:hAnsi="Century Gothic"/>
      <w:color w:val="006699"/>
      <w:sz w:val="28"/>
    </w:rPr>
  </w:style>
  <w:style w:type="character" w:customStyle="1" w:styleId="Heading4Char">
    <w:name w:val="Heading 4 Char"/>
    <w:basedOn w:val="DefaultParagraphFont"/>
    <w:link w:val="Heading4"/>
    <w:rsid w:val="00D45515"/>
    <w:rPr>
      <w:rFonts w:ascii="Century Gothic" w:eastAsia="Times New Roman" w:hAnsi="Century Gothic" w:cs="Times New Roman"/>
      <w:bCs/>
      <w:i/>
      <w:color w:val="006699"/>
      <w:sz w:val="28"/>
      <w:szCs w:val="24"/>
    </w:rPr>
  </w:style>
  <w:style w:type="character" w:customStyle="1" w:styleId="Heading5Char">
    <w:name w:val="Heading 5 Char"/>
    <w:basedOn w:val="DefaultParagraphFont"/>
    <w:link w:val="Heading5"/>
    <w:rsid w:val="00D45515"/>
    <w:rPr>
      <w:rFonts w:ascii="Garamond" w:eastAsia="Times New Roman" w:hAnsi="Garamond" w:cs="Times New Roman"/>
      <w:szCs w:val="27"/>
    </w:rPr>
  </w:style>
  <w:style w:type="character" w:customStyle="1" w:styleId="Heading6Char">
    <w:name w:val="Heading 6 Char"/>
    <w:basedOn w:val="DefaultParagraphFont"/>
    <w:link w:val="Heading6"/>
    <w:rsid w:val="00D45515"/>
    <w:rPr>
      <w:rFonts w:ascii="Garamond" w:eastAsia="Times New Roman" w:hAnsi="Garamond" w:cs="Times New Roman"/>
      <w:szCs w:val="27"/>
    </w:rPr>
  </w:style>
  <w:style w:type="character" w:customStyle="1" w:styleId="Heading7Char">
    <w:name w:val="Heading 7 Char"/>
    <w:basedOn w:val="DefaultParagraphFont"/>
    <w:link w:val="Heading7"/>
    <w:rsid w:val="00D45515"/>
    <w:rPr>
      <w:rFonts w:ascii="Garamond" w:eastAsia="Times New Roman" w:hAnsi="Garamond" w:cs="Times New Roman"/>
      <w:bCs/>
      <w:szCs w:val="27"/>
    </w:rPr>
  </w:style>
  <w:style w:type="paragraph" w:customStyle="1" w:styleId="TableSheet">
    <w:name w:val="Table Sheet"/>
    <w:basedOn w:val="Normal"/>
    <w:next w:val="Normal"/>
    <w:rsid w:val="00EF1C9D"/>
    <w:pPr>
      <w:pBdr>
        <w:bottom w:val="single" w:sz="18" w:space="1" w:color="009966"/>
      </w:pBdr>
      <w:spacing w:line="240" w:lineRule="auto"/>
      <w:jc w:val="right"/>
    </w:pPr>
    <w:rPr>
      <w:rFonts w:ascii="Century Gothic" w:hAnsi="Century Gothic" w:cs="Arial"/>
      <w:b/>
      <w:color w:val="006699"/>
      <w:sz w:val="36"/>
      <w:szCs w:val="36"/>
    </w:rPr>
  </w:style>
  <w:style w:type="paragraph" w:styleId="TOC1">
    <w:name w:val="toc 1"/>
    <w:basedOn w:val="Normal"/>
    <w:next w:val="Normal"/>
    <w:autoRedefine/>
    <w:uiPriority w:val="39"/>
    <w:rsid w:val="00D45515"/>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D45515"/>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D45515"/>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D45515"/>
    <w:pPr>
      <w:tabs>
        <w:tab w:val="left" w:pos="3240"/>
        <w:tab w:val="right" w:leader="dot" w:pos="8914"/>
      </w:tabs>
      <w:ind w:left="2160"/>
    </w:pPr>
    <w:rPr>
      <w:i/>
    </w:rPr>
  </w:style>
  <w:style w:type="paragraph" w:styleId="TOC5">
    <w:name w:val="toc 5"/>
    <w:basedOn w:val="Normal"/>
    <w:next w:val="Normal"/>
    <w:semiHidden/>
    <w:rsid w:val="00D45515"/>
    <w:pPr>
      <w:tabs>
        <w:tab w:val="left" w:pos="3960"/>
        <w:tab w:val="right" w:leader="dot" w:pos="8914"/>
      </w:tabs>
      <w:ind w:left="3240"/>
    </w:pPr>
  </w:style>
  <w:style w:type="paragraph" w:styleId="TOC6">
    <w:name w:val="toc 6"/>
    <w:basedOn w:val="Normal"/>
    <w:next w:val="Normal"/>
    <w:autoRedefine/>
    <w:semiHidden/>
    <w:rsid w:val="00D45515"/>
    <w:pPr>
      <w:ind w:left="1200"/>
    </w:pPr>
  </w:style>
  <w:style w:type="paragraph" w:styleId="TOC7">
    <w:name w:val="toc 7"/>
    <w:basedOn w:val="Normal"/>
    <w:next w:val="Normal"/>
    <w:autoRedefine/>
    <w:semiHidden/>
    <w:rsid w:val="00D45515"/>
    <w:pPr>
      <w:ind w:left="1440"/>
    </w:pPr>
  </w:style>
  <w:style w:type="paragraph" w:customStyle="1" w:styleId="ProposalMainSection">
    <w:name w:val="Proposal Main Section"/>
    <w:basedOn w:val="Normal"/>
    <w:next w:val="Normal"/>
    <w:rsid w:val="00D60A18"/>
    <w:pPr>
      <w:keepNext/>
      <w:shd w:val="clear" w:color="auto" w:fill="006699"/>
      <w:outlineLvl w:val="0"/>
    </w:pPr>
    <w:rPr>
      <w:rFonts w:ascii="Century Gothic" w:hAnsi="Century Gothic"/>
      <w:b/>
      <w:bCs/>
      <w:color w:val="FFFFFF"/>
      <w:kern w:val="32"/>
      <w:sz w:val="28"/>
      <w:szCs w:val="20"/>
    </w:rPr>
  </w:style>
  <w:style w:type="paragraph" w:customStyle="1" w:styleId="ProposalParagraphHeading">
    <w:name w:val="Proposal Paragraph Heading"/>
    <w:basedOn w:val="Normal"/>
    <w:next w:val="Normal"/>
    <w:link w:val="ProposalParagraphHeadingChar"/>
    <w:rsid w:val="00D60A18"/>
    <w:pPr>
      <w:keepNext/>
      <w:keepLines/>
    </w:pPr>
    <w:rPr>
      <w:rFonts w:ascii="Century Gothic" w:hAnsi="Century Gothic" w:cs="Tahoma"/>
      <w:b/>
      <w:bCs/>
    </w:rPr>
  </w:style>
  <w:style w:type="character" w:customStyle="1" w:styleId="ProposalParagraphHeadingChar">
    <w:name w:val="Proposal Paragraph Heading Char"/>
    <w:basedOn w:val="DefaultParagraphFont"/>
    <w:link w:val="ProposalParagraphHeading"/>
    <w:rsid w:val="00D60A18"/>
    <w:rPr>
      <w:rFonts w:ascii="Century Gothic" w:hAnsi="Century Gothic" w:cs="Tahoma"/>
      <w:b/>
      <w:bCs/>
      <w:szCs w:val="24"/>
    </w:rPr>
  </w:style>
  <w:style w:type="paragraph" w:customStyle="1" w:styleId="ProposalSecondHeading">
    <w:name w:val="Proposal Second Heading"/>
    <w:basedOn w:val="Normal"/>
    <w:next w:val="Normal"/>
    <w:rsid w:val="00D60A18"/>
    <w:pPr>
      <w:jc w:val="both"/>
    </w:pPr>
    <w:rPr>
      <w:rFonts w:ascii="Century Gothic" w:hAnsi="Century Gothic"/>
      <w:b/>
      <w:bCs/>
      <w:color w:val="006699"/>
      <w:szCs w:val="20"/>
    </w:rPr>
  </w:style>
  <w:style w:type="paragraph" w:customStyle="1" w:styleId="ProposalAppLine1">
    <w:name w:val="ProposalAppLine1"/>
    <w:basedOn w:val="Normal"/>
    <w:next w:val="Normal"/>
    <w:rsid w:val="00D60A18"/>
    <w:pPr>
      <w:jc w:val="right"/>
    </w:pPr>
    <w:rPr>
      <w:rFonts w:ascii="Century Gothic" w:hAnsi="Century Gothic"/>
      <w:b/>
      <w:color w:val="006699"/>
      <w:sz w:val="36"/>
      <w:szCs w:val="36"/>
    </w:rPr>
  </w:style>
  <w:style w:type="paragraph" w:customStyle="1" w:styleId="ProposalAppLine2">
    <w:name w:val="ProposalAppLine2"/>
    <w:basedOn w:val="Normal"/>
    <w:next w:val="Normal"/>
    <w:rsid w:val="00D60A18"/>
    <w:pPr>
      <w:jc w:val="right"/>
    </w:pPr>
    <w:rPr>
      <w:rFonts w:ascii="Century Gothic" w:hAnsi="Century Gothic"/>
      <w:color w:val="006699"/>
      <w:sz w:val="28"/>
      <w:szCs w:val="28"/>
    </w:rPr>
  </w:style>
  <w:style w:type="paragraph" w:customStyle="1" w:styleId="ProposalTableHeadingRow">
    <w:name w:val="ProposalTableHeadingRow"/>
    <w:basedOn w:val="Normal"/>
    <w:next w:val="Normal"/>
    <w:rsid w:val="00D60A18"/>
    <w:pPr>
      <w:jc w:val="center"/>
    </w:pPr>
    <w:rPr>
      <w:rFonts w:ascii="Century Gothic" w:hAnsi="Century Gothic"/>
      <w:color w:val="FFFFFF"/>
      <w:szCs w:val="20"/>
    </w:rPr>
  </w:style>
  <w:style w:type="paragraph" w:customStyle="1" w:styleId="ProposalTableRow">
    <w:name w:val="ProposalTableRow"/>
    <w:basedOn w:val="Normal"/>
    <w:rsid w:val="00D60A18"/>
    <w:rPr>
      <w:szCs w:val="20"/>
    </w:rPr>
  </w:style>
  <w:style w:type="paragraph" w:customStyle="1" w:styleId="ProposalTextBox">
    <w:name w:val="ProposalTextBox"/>
    <w:basedOn w:val="Normal"/>
    <w:rsid w:val="00D60A18"/>
    <w:rPr>
      <w:rFonts w:ascii="Century Gothic" w:hAnsi="Century Gothic" w:cs="Tahoma"/>
      <w:color w:val="006699"/>
      <w:sz w:val="20"/>
      <w:szCs w:val="20"/>
    </w:rPr>
  </w:style>
  <w:style w:type="paragraph" w:customStyle="1" w:styleId="email">
    <w:name w:val="email"/>
    <w:basedOn w:val="PlainText"/>
    <w:next w:val="officelocations"/>
    <w:rsid w:val="00EF1C9D"/>
    <w:pPr>
      <w:spacing w:line="240" w:lineRule="auto"/>
      <w:jc w:val="right"/>
    </w:pPr>
    <w:rPr>
      <w:rFonts w:ascii="Century Gothic" w:hAnsi="Century Gothic" w:cs="Courier New"/>
      <w:color w:val="00669B"/>
      <w:sz w:val="14"/>
      <w:szCs w:val="14"/>
    </w:rPr>
  </w:style>
  <w:style w:type="paragraph" w:styleId="PlainText">
    <w:name w:val="Plain Text"/>
    <w:basedOn w:val="Normal"/>
    <w:link w:val="PlainTextChar"/>
    <w:uiPriority w:val="99"/>
    <w:semiHidden/>
    <w:unhideWhenUsed/>
    <w:rsid w:val="00845F24"/>
    <w:rPr>
      <w:rFonts w:ascii="Consolas" w:hAnsi="Consolas" w:cs="Consolas"/>
      <w:sz w:val="21"/>
      <w:szCs w:val="21"/>
    </w:rPr>
  </w:style>
  <w:style w:type="character" w:customStyle="1" w:styleId="PlainTextChar">
    <w:name w:val="Plain Text Char"/>
    <w:basedOn w:val="DefaultParagraphFont"/>
    <w:link w:val="PlainText"/>
    <w:uiPriority w:val="99"/>
    <w:semiHidden/>
    <w:rsid w:val="00845F24"/>
    <w:rPr>
      <w:rFonts w:ascii="Consolas" w:hAnsi="Consolas" w:cs="Consolas"/>
      <w:sz w:val="21"/>
      <w:szCs w:val="21"/>
    </w:rPr>
  </w:style>
  <w:style w:type="paragraph" w:customStyle="1" w:styleId="letter">
    <w:name w:val="letter"/>
    <w:basedOn w:val="PlainText"/>
    <w:next w:val="email"/>
    <w:rsid w:val="00845F24"/>
    <w:pPr>
      <w:spacing w:line="220" w:lineRule="exact"/>
      <w:jc w:val="right"/>
    </w:pPr>
    <w:rPr>
      <w:rFonts w:ascii="Century Gothic" w:hAnsi="Century Gothic" w:cs="Courier New"/>
      <w:color w:val="00669B"/>
      <w:sz w:val="14"/>
      <w:szCs w:val="14"/>
    </w:rPr>
  </w:style>
  <w:style w:type="paragraph" w:customStyle="1" w:styleId="officelocations">
    <w:name w:val="officelocations"/>
    <w:basedOn w:val="PlainText"/>
    <w:rsid w:val="00845F24"/>
    <w:pPr>
      <w:jc w:val="right"/>
    </w:pPr>
    <w:rPr>
      <w:rFonts w:ascii="Century Gothic" w:hAnsi="Century Gothic" w:cs="Courier New"/>
      <w:color w:val="009966"/>
      <w:sz w:val="14"/>
      <w:szCs w:val="14"/>
    </w:rPr>
  </w:style>
  <w:style w:type="paragraph" w:styleId="ListParagraph">
    <w:name w:val="List Paragraph"/>
    <w:basedOn w:val="Normal"/>
    <w:uiPriority w:val="34"/>
    <w:qFormat/>
    <w:rsid w:val="00666E44"/>
    <w:pPr>
      <w:ind w:left="720"/>
      <w:contextualSpacing/>
    </w:pPr>
  </w:style>
  <w:style w:type="paragraph" w:styleId="Header">
    <w:name w:val="header"/>
    <w:basedOn w:val="Normal"/>
    <w:link w:val="HeaderChar"/>
    <w:uiPriority w:val="99"/>
    <w:unhideWhenUsed/>
    <w:rsid w:val="00666E44"/>
    <w:pPr>
      <w:tabs>
        <w:tab w:val="center" w:pos="4680"/>
        <w:tab w:val="right" w:pos="9360"/>
      </w:tabs>
      <w:spacing w:line="240" w:lineRule="auto"/>
    </w:pPr>
  </w:style>
  <w:style w:type="character" w:customStyle="1" w:styleId="HeaderChar">
    <w:name w:val="Header Char"/>
    <w:basedOn w:val="DefaultParagraphFont"/>
    <w:link w:val="Header"/>
    <w:uiPriority w:val="99"/>
    <w:rsid w:val="00666E44"/>
  </w:style>
  <w:style w:type="paragraph" w:styleId="Footer">
    <w:name w:val="footer"/>
    <w:basedOn w:val="Normal"/>
    <w:link w:val="FooterChar"/>
    <w:uiPriority w:val="99"/>
    <w:unhideWhenUsed/>
    <w:rsid w:val="00666E44"/>
    <w:pPr>
      <w:tabs>
        <w:tab w:val="center" w:pos="4680"/>
        <w:tab w:val="right" w:pos="9360"/>
      </w:tabs>
      <w:spacing w:line="240" w:lineRule="auto"/>
    </w:pPr>
  </w:style>
  <w:style w:type="character" w:customStyle="1" w:styleId="FooterChar">
    <w:name w:val="Footer Char"/>
    <w:basedOn w:val="DefaultParagraphFont"/>
    <w:link w:val="Footer"/>
    <w:uiPriority w:val="99"/>
    <w:rsid w:val="0066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4</cp:revision>
  <dcterms:created xsi:type="dcterms:W3CDTF">2019-06-17T13:50:00Z</dcterms:created>
  <dcterms:modified xsi:type="dcterms:W3CDTF">2019-06-17T19:51:00Z</dcterms:modified>
</cp:coreProperties>
</file>